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p>
    <w:p>
      <w:pPr>
        <w:widowControl/>
      </w:pPr>
    </w:p>
    <w:p>
      <w:pPr>
        <w:widowControl/>
      </w:pPr>
    </w:p>
    <w:p>
      <w:pPr>
        <w:widowControl/>
      </w:pPr>
    </w:p>
    <w:p>
      <w:pPr>
        <w:pStyle w:val="Title"/>
        <w:widowControl/>
        <w:jc w:val="left"/>
      </w:pPr>
      <w:r>
        <w:t>Humanity Pact 2026</w:t>
      </w:r>
    </w:p>
    <w:p>
      <w:pPr>
        <w:widowControl/>
        <w:spacing w:after="560"/>
      </w:pPr>
      <w:r>
        <w:rPr>
          <w:rFonts w:ascii="Arial" w:hAnsi="Arial" w:cs="Arial"/>
          <w:b w:val="0"/>
          <w:color w:val="000000"/>
          <w:sz w:val="32"/>
        </w:rPr>
        <w:t>Quadro global para dignidade justiça e florescimento humano dentro dos limites do planeta</w:t>
      </w:r>
    </w:p>
    <w:p>
      <w:pPr>
        <w:widowControl/>
        <w:spacing w:after="320"/>
      </w:pPr>
      <w:r>
        <w:rPr>
          <w:rFonts w:ascii="Arial" w:hAnsi="Arial" w:cs="Arial"/>
          <w:i/>
          <w:color w:val="6B7280"/>
          <w:sz w:val="24"/>
        </w:rPr>
        <w:t>Versão consolidada para revisão institucional</w:t>
      </w:r>
    </w:p>
    <w:p>
      <w:pPr>
        <w:widowControl/>
        <w:spacing w:after="80"/>
      </w:pPr>
      <w:r>
        <w:rPr>
          <w:rFonts w:ascii="Arial" w:hAnsi="Arial" w:cs="Arial"/>
          <w:b/>
          <w:color w:val="000000"/>
          <w:sz w:val="21"/>
        </w:rPr>
        <w:t xml:space="preserve">Autoria  </w:t>
      </w:r>
      <w:r>
        <w:rPr>
          <w:rFonts w:ascii="Arial" w:hAnsi="Arial" w:cs="Arial"/>
          <w:color w:val="6B7280"/>
          <w:sz w:val="21"/>
        </w:rPr>
        <w:t>Humanity Pact Think Tank e Myriam Taylor de Carvalho</w:t>
      </w:r>
    </w:p>
    <w:p>
      <w:pPr>
        <w:widowControl/>
        <w:spacing w:after="80"/>
      </w:pPr>
      <w:r>
        <w:rPr>
          <w:rFonts w:ascii="Arial" w:hAnsi="Arial" w:cs="Arial"/>
          <w:b/>
          <w:color w:val="000000"/>
          <w:sz w:val="21"/>
        </w:rPr>
        <w:t xml:space="preserve">Custódia institucional  </w:t>
      </w:r>
      <w:r>
        <w:rPr>
          <w:rFonts w:ascii="Arial" w:hAnsi="Arial" w:cs="Arial"/>
          <w:color w:val="6B7280"/>
          <w:sz w:val="21"/>
        </w:rPr>
        <w:t>Humanity Pact Alliance</w:t>
      </w:r>
    </w:p>
    <w:p>
      <w:pPr>
        <w:widowControl/>
        <w:spacing w:after="80"/>
      </w:pPr>
      <w:r>
        <w:rPr>
          <w:rFonts w:ascii="Arial" w:hAnsi="Arial" w:cs="Arial"/>
          <w:b/>
          <w:color w:val="000000"/>
          <w:sz w:val="21"/>
        </w:rPr>
        <w:t xml:space="preserve">Data  </w:t>
      </w:r>
      <w:r>
        <w:rPr>
          <w:rFonts w:ascii="Arial" w:hAnsi="Arial" w:cs="Arial"/>
          <w:color w:val="6B7280"/>
          <w:sz w:val="21"/>
        </w:rPr>
        <w:t>Setembro de 2026</w:t>
      </w:r>
    </w:p>
    <w:p>
      <w:pPr>
        <w:widowControl/>
        <w:spacing w:after="80"/>
      </w:pPr>
      <w:r>
        <w:rPr>
          <w:rFonts w:ascii="Arial" w:hAnsi="Arial" w:cs="Arial"/>
          <w:b/>
          <w:color w:val="000000"/>
          <w:sz w:val="21"/>
        </w:rPr>
        <w:t xml:space="preserve">Finalidade  </w:t>
      </w:r>
      <w:r>
        <w:rPr>
          <w:rFonts w:ascii="Arial" w:hAnsi="Arial" w:cs="Arial"/>
          <w:color w:val="6B7280"/>
          <w:sz w:val="21"/>
        </w:rPr>
        <w:t>Documento-base do Humanity Pact e fundamento normativo do Humanity Index</w:t>
      </w:r>
    </w:p>
    <w:p>
      <w:pPr>
        <w:widowControl/>
        <w:spacing w:after="80"/>
      </w:pPr>
      <w:r>
        <w:rPr>
          <w:rFonts w:ascii="Arial" w:hAnsi="Arial" w:cs="Arial"/>
          <w:b/>
          <w:color w:val="000000"/>
          <w:sz w:val="21"/>
        </w:rPr>
        <w:t xml:space="preserve">Estado  </w:t>
      </w:r>
      <w:r>
        <w:rPr>
          <w:rFonts w:ascii="Arial" w:hAnsi="Arial" w:cs="Arial"/>
          <w:color w:val="6B7280"/>
          <w:sz w:val="21"/>
        </w:rPr>
        <w:t>Proposta sujeita a aprovação institucional. Sem validação ou endosso externo implícito</w:t>
      </w:r>
    </w:p>
    <w:p>
      <w:pPr>
        <w:widowControl/>
      </w:pPr>
    </w:p>
    <w:p>
      <w:pPr>
        <w:widowControl/>
        <w:spacing w:before="400" w:after="0"/>
      </w:pPr>
      <w:r>
        <w:rPr>
          <w:rFonts w:ascii="Arial" w:hAnsi="Arial" w:cs="Arial"/>
          <w:b/>
          <w:color w:val="17324D"/>
          <w:sz w:val="21"/>
        </w:rPr>
        <w:t>O Humanity Pact define os compromissos. O Humanity Index mede a mudança. O Dashboard torna a evidência pública.</w:t>
      </w:r>
    </w:p>
    <w:p>
      <w:pPr>
        <w:widowControl/>
      </w:pPr>
      <w:r>
        <w:br w:type="page"/>
      </w:r>
    </w:p>
    <w:p>
      <w:pPr>
        <w:pStyle w:val="Heading1"/>
        <w:keepNext/>
        <w:widowControl/>
        <w:spacing w:after="200"/>
      </w:pPr>
      <w:r>
        <w:t>Estrutura do documento</w:t>
      </w:r>
    </w:p>
    <w:p>
      <w:pPr>
        <w:pStyle w:val="ListBullet"/>
        <w:widowControl/>
        <w:spacing w:after="52"/>
      </w:pPr>
      <w:r>
        <w:rPr>
          <w:rFonts w:ascii="Arial" w:hAnsi="Arial" w:cs="Arial"/>
          <w:color w:val="000000"/>
          <w:sz w:val="20"/>
        </w:rPr>
        <w:t>Sumário executivo</w:t>
      </w:r>
    </w:p>
    <w:p>
      <w:pPr>
        <w:pStyle w:val="ListBullet"/>
        <w:widowControl/>
        <w:spacing w:after="52"/>
      </w:pPr>
      <w:r>
        <w:rPr>
          <w:rFonts w:ascii="Arial" w:hAnsi="Arial" w:cs="Arial"/>
          <w:color w:val="000000"/>
          <w:sz w:val="20"/>
        </w:rPr>
        <w:t>Preâmbulo</w:t>
      </w:r>
    </w:p>
    <w:p>
      <w:pPr>
        <w:pStyle w:val="ListBullet"/>
        <w:widowControl/>
        <w:spacing w:after="52"/>
      </w:pPr>
      <w:r>
        <w:rPr>
          <w:rFonts w:ascii="Arial" w:hAnsi="Arial" w:cs="Arial"/>
          <w:color w:val="000000"/>
          <w:sz w:val="20"/>
        </w:rPr>
        <w:t>1 Finalidade e alcance</w:t>
      </w:r>
    </w:p>
    <w:p>
      <w:pPr>
        <w:pStyle w:val="ListBullet"/>
        <w:widowControl/>
        <w:spacing w:after="52"/>
      </w:pPr>
      <w:r>
        <w:rPr>
          <w:rFonts w:ascii="Arial" w:hAnsi="Arial" w:cs="Arial"/>
          <w:color w:val="000000"/>
          <w:sz w:val="20"/>
        </w:rPr>
        <w:t>2 Questão central e conceito de florescimento humano</w:t>
      </w:r>
    </w:p>
    <w:p>
      <w:pPr>
        <w:pStyle w:val="ListBullet"/>
        <w:widowControl/>
        <w:spacing w:after="52"/>
      </w:pPr>
      <w:r>
        <w:rPr>
          <w:rFonts w:ascii="Arial" w:hAnsi="Arial" w:cs="Arial"/>
          <w:color w:val="000000"/>
          <w:sz w:val="20"/>
        </w:rPr>
        <w:t>3 Arquitetura consolidada de 2026</w:t>
      </w:r>
    </w:p>
    <w:p>
      <w:pPr>
        <w:pStyle w:val="ListBullet"/>
        <w:widowControl/>
        <w:spacing w:after="52"/>
      </w:pPr>
      <w:r>
        <w:rPr>
          <w:rFonts w:ascii="Arial" w:hAnsi="Arial" w:cs="Arial"/>
          <w:color w:val="000000"/>
          <w:sz w:val="20"/>
        </w:rPr>
        <w:t>4 Os seis pilares</w:t>
      </w:r>
    </w:p>
    <w:p>
      <w:pPr>
        <w:pStyle w:val="ListBullet"/>
        <w:widowControl/>
        <w:spacing w:after="52"/>
      </w:pPr>
      <w:r>
        <w:rPr>
          <w:rFonts w:ascii="Arial" w:hAnsi="Arial" w:cs="Arial"/>
          <w:color w:val="000000"/>
          <w:sz w:val="20"/>
        </w:rPr>
        <w:t>5 Garantias transversais</w:t>
      </w:r>
    </w:p>
    <w:p>
      <w:pPr>
        <w:pStyle w:val="ListBullet"/>
        <w:widowControl/>
        <w:spacing w:after="52"/>
      </w:pPr>
      <w:r>
        <w:rPr>
          <w:rFonts w:ascii="Arial" w:hAnsi="Arial" w:cs="Arial"/>
          <w:color w:val="000000"/>
          <w:sz w:val="20"/>
        </w:rPr>
        <w:t>6 Titulares de direitos e contextos de exclusão</w:t>
      </w:r>
    </w:p>
    <w:p>
      <w:pPr>
        <w:pStyle w:val="ListBullet"/>
        <w:widowControl/>
        <w:spacing w:after="52"/>
      </w:pPr>
      <w:r>
        <w:rPr>
          <w:rFonts w:ascii="Arial" w:hAnsi="Arial" w:cs="Arial"/>
          <w:color w:val="000000"/>
          <w:sz w:val="20"/>
        </w:rPr>
        <w:t>7 Regras de decisão</w:t>
      </w:r>
    </w:p>
    <w:p>
      <w:pPr>
        <w:pStyle w:val="ListBullet"/>
        <w:widowControl/>
        <w:spacing w:after="52"/>
      </w:pPr>
      <w:r>
        <w:rPr>
          <w:rFonts w:ascii="Arial" w:hAnsi="Arial" w:cs="Arial"/>
          <w:color w:val="000000"/>
          <w:sz w:val="20"/>
        </w:rPr>
        <w:t>8 Compromissos do Humanity Pact</w:t>
      </w:r>
    </w:p>
    <w:p>
      <w:pPr>
        <w:pStyle w:val="ListBullet"/>
        <w:widowControl/>
        <w:spacing w:after="52"/>
      </w:pPr>
      <w:r>
        <w:rPr>
          <w:rFonts w:ascii="Arial" w:hAnsi="Arial" w:cs="Arial"/>
          <w:color w:val="000000"/>
          <w:sz w:val="20"/>
        </w:rPr>
        <w:t>9 Modalidades de compromisso e uso público</w:t>
      </w:r>
    </w:p>
    <w:p>
      <w:pPr>
        <w:pStyle w:val="ListBullet"/>
        <w:widowControl/>
        <w:spacing w:after="52"/>
      </w:pPr>
      <w:r>
        <w:rPr>
          <w:rFonts w:ascii="Arial" w:hAnsi="Arial" w:cs="Arial"/>
          <w:color w:val="000000"/>
          <w:sz w:val="20"/>
        </w:rPr>
        <w:t>10 Ecossistema de implementação</w:t>
      </w:r>
    </w:p>
    <w:p>
      <w:pPr>
        <w:pStyle w:val="ListBullet"/>
        <w:widowControl/>
        <w:spacing w:after="52"/>
      </w:pPr>
      <w:r>
        <w:rPr>
          <w:rFonts w:ascii="Arial" w:hAnsi="Arial" w:cs="Arial"/>
          <w:color w:val="000000"/>
          <w:sz w:val="20"/>
        </w:rPr>
        <w:t>11 Ciclo de implementação</w:t>
      </w:r>
    </w:p>
    <w:p>
      <w:pPr>
        <w:pStyle w:val="ListBullet"/>
        <w:widowControl/>
        <w:spacing w:after="52"/>
      </w:pPr>
      <w:r>
        <w:rPr>
          <w:rFonts w:ascii="Arial" w:hAnsi="Arial" w:cs="Arial"/>
          <w:color w:val="000000"/>
          <w:sz w:val="20"/>
        </w:rPr>
        <w:t>12 Humanity Index e Dashboard</w:t>
      </w:r>
    </w:p>
    <w:p>
      <w:pPr>
        <w:pStyle w:val="ListBullet"/>
        <w:widowControl/>
        <w:spacing w:after="52"/>
      </w:pPr>
      <w:r>
        <w:rPr>
          <w:rFonts w:ascii="Arial" w:hAnsi="Arial" w:cs="Arial"/>
          <w:color w:val="000000"/>
          <w:sz w:val="20"/>
        </w:rPr>
        <w:t>13 Governação do Humanity Pact</w:t>
      </w:r>
    </w:p>
    <w:p>
      <w:pPr>
        <w:pStyle w:val="ListBullet"/>
        <w:widowControl/>
        <w:spacing w:after="52"/>
      </w:pPr>
      <w:r>
        <w:rPr>
          <w:rFonts w:ascii="Arial" w:hAnsi="Arial" w:cs="Arial"/>
          <w:color w:val="000000"/>
          <w:sz w:val="20"/>
        </w:rPr>
        <w:t>14 Dados inteligência artificial e ética do conhecimento</w:t>
      </w:r>
    </w:p>
    <w:p>
      <w:pPr>
        <w:pStyle w:val="ListBullet"/>
        <w:widowControl/>
        <w:spacing w:after="52"/>
      </w:pPr>
      <w:r>
        <w:rPr>
          <w:rFonts w:ascii="Arial" w:hAnsi="Arial" w:cs="Arial"/>
          <w:color w:val="000000"/>
          <w:sz w:val="20"/>
        </w:rPr>
        <w:t>15 Financiamento e independência</w:t>
      </w:r>
    </w:p>
    <w:p>
      <w:pPr>
        <w:pStyle w:val="ListBullet"/>
        <w:widowControl/>
        <w:spacing w:after="52"/>
      </w:pPr>
      <w:r>
        <w:rPr>
          <w:rFonts w:ascii="Arial" w:hAnsi="Arial" w:cs="Arial"/>
          <w:color w:val="000000"/>
          <w:sz w:val="20"/>
        </w:rPr>
        <w:t>16 Autoria propriedade intelectual e validação</w:t>
      </w:r>
    </w:p>
    <w:p>
      <w:pPr>
        <w:pStyle w:val="ListBullet"/>
        <w:widowControl/>
        <w:spacing w:after="52"/>
      </w:pPr>
      <w:r>
        <w:rPr>
          <w:rFonts w:ascii="Arial" w:hAnsi="Arial" w:cs="Arial"/>
          <w:color w:val="000000"/>
          <w:sz w:val="20"/>
        </w:rPr>
        <w:t>17 Roteiro de 2026 a 2030</w:t>
      </w:r>
    </w:p>
    <w:p>
      <w:pPr>
        <w:pStyle w:val="ListBullet"/>
        <w:widowControl/>
        <w:spacing w:after="52"/>
      </w:pPr>
      <w:r>
        <w:rPr>
          <w:rFonts w:ascii="Arial" w:hAnsi="Arial" w:cs="Arial"/>
          <w:color w:val="000000"/>
          <w:sz w:val="20"/>
        </w:rPr>
        <w:t>18 Declaração final</w:t>
      </w:r>
    </w:p>
    <w:p>
      <w:pPr>
        <w:pStyle w:val="ListBullet"/>
        <w:widowControl/>
        <w:spacing w:after="52"/>
      </w:pPr>
      <w:r>
        <w:rPr>
          <w:rFonts w:ascii="Arial" w:hAnsi="Arial" w:cs="Arial"/>
          <w:color w:val="000000"/>
          <w:sz w:val="20"/>
        </w:rPr>
        <w:t>Anexos A a D</w:t>
      </w:r>
    </w:p>
    <w:p>
      <w:pPr>
        <w:widowControl/>
      </w:pPr>
      <w:r>
        <w:br w:type="page"/>
      </w:r>
    </w:p>
    <w:p>
      <w:pPr>
        <w:pStyle w:val="Heading1"/>
        <w:keepNext/>
        <w:widowControl/>
      </w:pPr>
      <w:r>
        <w:t>Sumário executivo</w:t>
      </w:r>
    </w:p>
    <w:p>
      <w:pPr>
        <w:widowControl/>
        <w:spacing w:after="120" w:line="271" w:lineRule="auto"/>
      </w:pPr>
      <w:r>
        <w:rPr>
          <w:rFonts w:ascii="Arial" w:hAnsi="Arial" w:cs="Arial"/>
          <w:color w:val="000000"/>
          <w:sz w:val="21"/>
        </w:rPr>
        <w:t xml:space="preserve">O </w:t>
      </w:r>
      <w:r>
        <w:rPr>
          <w:rFonts w:ascii="Arial" w:hAnsi="Arial" w:cs="Arial"/>
          <w:b/>
          <w:color w:val="000000"/>
          <w:sz w:val="21"/>
        </w:rPr>
        <w:t>Humanity Pact 2026</w:t>
      </w:r>
      <w:r>
        <w:rPr>
          <w:rFonts w:ascii="Arial" w:hAnsi="Arial" w:cs="Arial"/>
          <w:color w:val="000000"/>
          <w:sz w:val="21"/>
        </w:rPr>
        <w:t xml:space="preserve"> é um quadro global de decisão e responsabilização para avaliar se políticas, investimentos, instituições e tecnologias melhoram a vida das pessoas dentro dos limites do planeta. Define uma visão comum de progresso, estabelece compromissos aplicáveis a diferentes tipos de organização e fornece a base normativa do Humanity Index.</w:t>
      </w:r>
    </w:p>
    <w:p>
      <w:pPr>
        <w:widowControl/>
        <w:spacing w:after="120" w:line="271" w:lineRule="auto"/>
      </w:pPr>
      <w:r>
        <w:rPr>
          <w:rFonts w:ascii="Arial" w:hAnsi="Arial" w:cs="Arial"/>
          <w:color w:val="000000"/>
          <w:sz w:val="21"/>
        </w:rPr>
        <w:t xml:space="preserve">A versão consolidada resolve uma ambiguidade da formulação anterior. A orientação </w:t>
      </w:r>
      <w:r>
        <w:rPr>
          <w:rFonts w:ascii="Arial" w:hAnsi="Arial" w:cs="Arial"/>
          <w:b/>
          <w:color w:val="000000"/>
          <w:sz w:val="21"/>
        </w:rPr>
        <w:t>People Well Being Environment</w:t>
      </w:r>
      <w:r>
        <w:rPr>
          <w:rFonts w:ascii="Arial" w:hAnsi="Arial" w:cs="Arial"/>
          <w:color w:val="000000"/>
          <w:sz w:val="21"/>
        </w:rPr>
        <w:t xml:space="preserve">, ou PWE, permanece como origem conceptual: pessoas no centro, bem-estar como finalidade e ambiente como condição de possibilidade. A estrutura pública passa, porém, a ser única e coerente. O Pact assenta em </w:t>
      </w:r>
      <w:r>
        <w:rPr>
          <w:rFonts w:ascii="Arial" w:hAnsi="Arial" w:cs="Arial"/>
          <w:b/>
          <w:color w:val="000000"/>
          <w:sz w:val="21"/>
        </w:rPr>
        <w:t>seis pilares substantivos</w:t>
      </w:r>
      <w:r>
        <w:rPr>
          <w:rFonts w:ascii="Arial" w:hAnsi="Arial" w:cs="Arial"/>
          <w:color w:val="000000"/>
          <w:sz w:val="21"/>
        </w:rPr>
        <w:t xml:space="preserve"> e </w:t>
      </w:r>
      <w:r>
        <w:rPr>
          <w:rFonts w:ascii="Arial" w:hAnsi="Arial" w:cs="Arial"/>
          <w:b/>
          <w:color w:val="000000"/>
          <w:sz w:val="21"/>
        </w:rPr>
        <w:t>três garantias transversais</w:t>
      </w:r>
      <w:r>
        <w:rPr>
          <w:rFonts w:ascii="Arial" w:hAnsi="Arial" w:cs="Arial"/>
          <w:color w:val="000000"/>
          <w:sz w:val="21"/>
        </w:rPr>
        <w:t>. Desta forma, deixa de existir uma taxonomia PWE+ paralela aos pilares usados pelo Humanity Index.</w:t>
      </w:r>
    </w:p>
    <w:p>
      <w:pPr>
        <w:widowControl/>
        <w:spacing w:after="120" w:line="271" w:lineRule="auto"/>
      </w:pPr>
      <w:r>
        <w:rPr>
          <w:rFonts w:ascii="Arial" w:hAnsi="Arial" w:cs="Arial"/>
          <w:color w:val="000000"/>
          <w:sz w:val="21"/>
        </w:rPr>
        <w:t>Os seis pilares são Justiça, Futurismo, Cultura, Esperança, Justiça Económica e Bem-estar. As três garantias são Inclusão e Equidade, Equilíbrio Planetário e Transparência, Responsabilização e Participação. Cada decisão é ainda sujeita ao Piso de Dignidade, ao Piso de Justiça, ao Teto Planetário e à Porta de Integridade. Estes limites impedem que uma média favorável oculte violações graves, desigualdades profundas, danos ambientais críticos ou ausência de evidência.</w:t>
      </w:r>
    </w:p>
    <w:p>
      <w:pPr>
        <w:widowControl/>
        <w:spacing w:after="120" w:line="271" w:lineRule="auto"/>
      </w:pPr>
      <w:r>
        <w:rPr>
          <w:rFonts w:ascii="Arial" w:hAnsi="Arial" w:cs="Arial"/>
          <w:color w:val="000000"/>
          <w:sz w:val="21"/>
        </w:rPr>
        <w:t>O Pact e o Index cumprem funções distintas. O Humanity Pact define o que deve orientar a ação. O Humanity Index mede mudanças, desigualdades e qualidade da evidência. O Humanity Pact Dashboard publica resultados, lacunas e compromissos. A participação institucional não equivale a certificação; declarações próprias são sempre distinguidas de resultados documentados ou revistos independentemente.</w:t>
      </w:r>
    </w:p>
    <w:p>
      <w:pPr>
        <w:widowControl/>
        <w:spacing w:after="120" w:line="271" w:lineRule="auto"/>
      </w:pPr>
      <w:r>
        <w:rPr>
          <w:rFonts w:ascii="Arial" w:hAnsi="Arial" w:cs="Arial"/>
          <w:color w:val="000000"/>
          <w:sz w:val="21"/>
        </w:rPr>
        <w:t>Esta versão reforça a inclusão de pessoas com deficiência, povos indígenas, pessoas africanas e afrodescendentes e comunidades afetadas pelos legados da escravização, migrantes, refugiados, apátridas e outros grupos sujeitos a exclusão estrutural. Reforça também a ética de dados e de inteligência artificial, a soberania comunitária sobre dados sensíveis, a independência científica, a prevenção de captura e o dever de corrigir danos.</w:t>
      </w:r>
    </w:p>
    <w:p>
      <w:pPr>
        <w:pStyle w:val="Heading1"/>
        <w:keepNext/>
        <w:widowControl/>
      </w:pPr>
      <w:r>
        <w:t>Preâmbulo</w:t>
      </w:r>
    </w:p>
    <w:p>
      <w:pPr>
        <w:widowControl/>
        <w:spacing w:after="120" w:line="271" w:lineRule="auto"/>
      </w:pPr>
      <w:r>
        <w:rPr>
          <w:rFonts w:ascii="Arial" w:hAnsi="Arial" w:cs="Arial"/>
          <w:color w:val="000000"/>
          <w:sz w:val="21"/>
        </w:rPr>
        <w:t>As sociedades continuam a avaliar o progresso sobretudo através de crescimento económico, capacidade institucional, expansão de serviços e inovação. Estas medidas são importantes, mas não bastam para determinar se as pessoas vivem com dignidade, segurança, pertença e poder para influenciar o seu futuro.</w:t>
      </w:r>
    </w:p>
    <w:p>
      <w:pPr>
        <w:widowControl/>
        <w:spacing w:after="120" w:line="271" w:lineRule="auto"/>
      </w:pPr>
      <w:r>
        <w:rPr>
          <w:rFonts w:ascii="Arial" w:hAnsi="Arial" w:cs="Arial"/>
          <w:color w:val="000000"/>
          <w:sz w:val="21"/>
        </w:rPr>
        <w:t>Uma sociedade pode aumentar o rendimento médio enquanto a riqueza se concentra. Uma cidade pode reduzir emissões deslocando comunidades com baixos rendimentos. Uma empresa pode comunicar ganhos de sustentabilidade enquanto transfere danos para trabalhadores, fornecedores ou territórios. Um governo pode digitalizar serviços e, ao mesmo tempo, excluir quem não dispõe de acesso, literacia, identidade reconhecida ou proteção dos seus dados.</w:t>
      </w:r>
    </w:p>
    <w:p>
      <w:pPr>
        <w:widowControl/>
        <w:spacing w:after="120" w:line="271" w:lineRule="auto"/>
      </w:pPr>
      <w:r>
        <w:rPr>
          <w:rFonts w:ascii="Arial" w:hAnsi="Arial" w:cs="Arial"/>
          <w:color w:val="000000"/>
          <w:sz w:val="21"/>
        </w:rPr>
        <w:t>O Humanity Pact parte de um princípio simples: um resultado não constitui progresso quando depende da violação de direitos, do silenciamento de comunidades, da reprodução de injustiças históricas ou da degradação das condições que sustentam a vida.</w:t>
      </w:r>
    </w:p>
    <w:p>
      <w:pPr>
        <w:widowControl/>
        <w:spacing w:after="120" w:line="271" w:lineRule="auto"/>
      </w:pPr>
      <w:r>
        <w:rPr>
          <w:rFonts w:ascii="Arial" w:hAnsi="Arial" w:cs="Arial"/>
          <w:color w:val="000000"/>
          <w:sz w:val="21"/>
        </w:rPr>
        <w:t>O Pact complementa, sem substituir, os direitos humanos, o direito nacional e internacional, os Objetivos de Desenvolvimento Sustentável e outros compromissos aplicáveis. O seu contributo específico consiste em relacionar valores, distribuição de poder, evidência, decisão, execução e reparação num único quadro de responsabilização.</w:t>
      </w:r>
    </w:p>
    <w:p>
      <w:pPr>
        <w:pStyle w:val="Heading1"/>
        <w:keepNext/>
        <w:pageBreakBefore/>
        <w:widowControl/>
      </w:pPr>
      <w:r>
        <w:t>1 Finalidade e alcance</w:t>
      </w:r>
    </w:p>
    <w:p>
      <w:pPr>
        <w:pStyle w:val="Heading2"/>
        <w:keepNext/>
        <w:widowControl/>
      </w:pPr>
      <w:r>
        <w:t>1.1 Finalidade</w:t>
      </w:r>
    </w:p>
    <w:p>
      <w:pPr>
        <w:widowControl/>
        <w:spacing w:after="120" w:line="271" w:lineRule="auto"/>
      </w:pPr>
      <w:r>
        <w:rPr>
          <w:rFonts w:ascii="Arial" w:hAnsi="Arial" w:cs="Arial"/>
          <w:color w:val="000000"/>
          <w:sz w:val="21"/>
        </w:rPr>
        <w:t>O Humanity Pact 2026 fornece uma referência comum para decidir, implementar e avaliar políticas, investimentos, programas, tecnologias e práticas institucionais. O seu propósito é ajudar cada entidade a responder, com evidência, a quatro questões: o que melhora, para quem melhora, que custos ou danos são produzidos e quem responde pelos resultados.</w:t>
      </w:r>
    </w:p>
    <w:p>
      <w:pPr>
        <w:widowControl/>
        <w:spacing w:after="120" w:line="271" w:lineRule="auto"/>
      </w:pPr>
      <w:r>
        <w:rPr>
          <w:rFonts w:ascii="Arial" w:hAnsi="Arial" w:cs="Arial"/>
          <w:color w:val="000000"/>
          <w:sz w:val="21"/>
        </w:rPr>
        <w:t>O Pact procura transformar compromissos gerais em decisões verificáveis. Cada aplicação deve identificar um âmbito concreto, uma situação de referência, metas, recursos, responsáveis, titulares de direitos, indicadores, fontes de evidência e mecanismos de correção.</w:t>
      </w:r>
    </w:p>
    <w:p>
      <w:pPr>
        <w:pStyle w:val="Heading2"/>
        <w:keepNext/>
        <w:widowControl/>
      </w:pPr>
      <w:r>
        <w:t>1.2 Natureza</w:t>
      </w:r>
    </w:p>
    <w:p>
      <w:pPr>
        <w:widowControl/>
        <w:spacing w:after="120" w:line="271" w:lineRule="auto"/>
      </w:pPr>
      <w:r>
        <w:rPr>
          <w:rFonts w:ascii="Arial" w:hAnsi="Arial" w:cs="Arial"/>
          <w:color w:val="000000"/>
          <w:sz w:val="21"/>
        </w:rPr>
        <w:t>O Humanity Pact é:</w:t>
      </w:r>
    </w:p>
    <w:p>
      <w:pPr>
        <w:pStyle w:val="ListBullet"/>
        <w:widowControl/>
        <w:spacing w:after="64" w:line="271" w:lineRule="auto"/>
        <w:ind w:left="374" w:hanging="230"/>
      </w:pPr>
      <w:r>
        <w:rPr>
          <w:rFonts w:ascii="Arial" w:hAnsi="Arial" w:cs="Arial"/>
          <w:color w:val="000000"/>
          <w:sz w:val="21"/>
        </w:rPr>
        <w:t>Um quadro normativo para dignidade, justiça e florescimento humano.</w:t>
      </w:r>
    </w:p>
    <w:p>
      <w:pPr>
        <w:pStyle w:val="ListBullet"/>
        <w:widowControl/>
        <w:spacing w:after="64" w:line="271" w:lineRule="auto"/>
        <w:ind w:left="374" w:hanging="230"/>
      </w:pPr>
      <w:r>
        <w:rPr>
          <w:rFonts w:ascii="Arial" w:hAnsi="Arial" w:cs="Arial"/>
          <w:color w:val="000000"/>
          <w:sz w:val="21"/>
        </w:rPr>
        <w:t>Um instrumento de decisão aplicável a políticas, investimentos e instituições.</w:t>
      </w:r>
    </w:p>
    <w:p>
      <w:pPr>
        <w:pStyle w:val="ListBullet"/>
        <w:widowControl/>
        <w:spacing w:after="64" w:line="271" w:lineRule="auto"/>
        <w:ind w:left="374" w:hanging="230"/>
      </w:pPr>
      <w:r>
        <w:rPr>
          <w:rFonts w:ascii="Arial" w:hAnsi="Arial" w:cs="Arial"/>
          <w:color w:val="000000"/>
          <w:sz w:val="21"/>
        </w:rPr>
        <w:t>O fundamento conceptual e ético do Humanity Index.</w:t>
      </w:r>
    </w:p>
    <w:p>
      <w:pPr>
        <w:pStyle w:val="ListBullet"/>
        <w:widowControl/>
        <w:spacing w:after="64" w:line="271" w:lineRule="auto"/>
        <w:ind w:left="374" w:hanging="230"/>
      </w:pPr>
      <w:r>
        <w:rPr>
          <w:rFonts w:ascii="Arial" w:hAnsi="Arial" w:cs="Arial"/>
          <w:color w:val="000000"/>
          <w:sz w:val="21"/>
        </w:rPr>
        <w:t>Uma estrutura de participação e responsabilização pública.</w:t>
      </w:r>
    </w:p>
    <w:p>
      <w:pPr>
        <w:pStyle w:val="ListBullet"/>
        <w:widowControl/>
        <w:spacing w:after="64" w:line="271" w:lineRule="auto"/>
        <w:ind w:left="374" w:hanging="230"/>
      </w:pPr>
      <w:r>
        <w:rPr>
          <w:rFonts w:ascii="Arial" w:hAnsi="Arial" w:cs="Arial"/>
          <w:color w:val="000000"/>
          <w:sz w:val="21"/>
        </w:rPr>
        <w:t>Um meio para revelar desigualdades, danos ocultos e grupos ausentes dos dados.</w:t>
      </w:r>
    </w:p>
    <w:p>
      <w:pPr>
        <w:pStyle w:val="ListBullet"/>
        <w:widowControl/>
        <w:spacing w:after="64" w:line="271" w:lineRule="auto"/>
        <w:ind w:left="374" w:hanging="230"/>
      </w:pPr>
      <w:r>
        <w:rPr>
          <w:rFonts w:ascii="Arial" w:hAnsi="Arial" w:cs="Arial"/>
          <w:color w:val="000000"/>
          <w:sz w:val="21"/>
        </w:rPr>
        <w:t>Uma ponte entre sociedade civil, comunidades, academia, governos, organizações internacionais e empresas.</w:t>
      </w:r>
    </w:p>
    <w:p>
      <w:pPr>
        <w:widowControl/>
        <w:spacing w:after="120" w:line="271" w:lineRule="auto"/>
      </w:pPr>
      <w:r>
        <w:rPr>
          <w:rFonts w:ascii="Arial" w:hAnsi="Arial" w:cs="Arial"/>
          <w:color w:val="000000"/>
          <w:sz w:val="21"/>
        </w:rPr>
        <w:t>O Humanity Pact não é:</w:t>
      </w:r>
    </w:p>
    <w:p>
      <w:pPr>
        <w:pStyle w:val="ListBullet"/>
        <w:widowControl/>
        <w:spacing w:after="64" w:line="271" w:lineRule="auto"/>
        <w:ind w:left="374" w:hanging="230"/>
      </w:pPr>
      <w:r>
        <w:rPr>
          <w:rFonts w:ascii="Arial" w:hAnsi="Arial" w:cs="Arial"/>
          <w:color w:val="000000"/>
          <w:sz w:val="21"/>
        </w:rPr>
        <w:t>Um substituto de obrigações jurídicas ou de direitos internacionalmente reconhecidos.</w:t>
      </w:r>
    </w:p>
    <w:p>
      <w:pPr>
        <w:pStyle w:val="ListBullet"/>
        <w:widowControl/>
        <w:spacing w:after="64" w:line="271" w:lineRule="auto"/>
        <w:ind w:left="374" w:hanging="230"/>
      </w:pPr>
      <w:r>
        <w:rPr>
          <w:rFonts w:ascii="Arial" w:hAnsi="Arial" w:cs="Arial"/>
          <w:color w:val="000000"/>
          <w:sz w:val="21"/>
        </w:rPr>
        <w:t>Uma classificação de felicidade ou um simples ranking de países.</w:t>
      </w:r>
    </w:p>
    <w:p>
      <w:pPr>
        <w:pStyle w:val="ListBullet"/>
        <w:widowControl/>
        <w:spacing w:after="64" w:line="271" w:lineRule="auto"/>
        <w:ind w:left="374" w:hanging="230"/>
      </w:pPr>
      <w:r>
        <w:rPr>
          <w:rFonts w:ascii="Arial" w:hAnsi="Arial" w:cs="Arial"/>
          <w:color w:val="000000"/>
          <w:sz w:val="21"/>
        </w:rPr>
        <w:t>Um selo ambiental, social e de governação para uso reputacional.</w:t>
      </w:r>
    </w:p>
    <w:p>
      <w:pPr>
        <w:pStyle w:val="ListBullet"/>
        <w:widowControl/>
        <w:spacing w:after="64" w:line="271" w:lineRule="auto"/>
        <w:ind w:left="374" w:hanging="230"/>
      </w:pPr>
      <w:r>
        <w:rPr>
          <w:rFonts w:ascii="Arial" w:hAnsi="Arial" w:cs="Arial"/>
          <w:color w:val="000000"/>
          <w:sz w:val="21"/>
        </w:rPr>
        <w:t>Uma certificação automática de governos, empresas ou organizações.</w:t>
      </w:r>
    </w:p>
    <w:p>
      <w:pPr>
        <w:pStyle w:val="ListBullet"/>
        <w:widowControl/>
        <w:spacing w:after="64" w:line="271" w:lineRule="auto"/>
        <w:ind w:left="374" w:hanging="230"/>
      </w:pPr>
      <w:r>
        <w:rPr>
          <w:rFonts w:ascii="Arial" w:hAnsi="Arial" w:cs="Arial"/>
          <w:color w:val="000000"/>
          <w:sz w:val="21"/>
        </w:rPr>
        <w:t>Um modelo tecnocrático no qual os dados substituem deliberação e experiência vivida.</w:t>
      </w:r>
    </w:p>
    <w:p>
      <w:pPr>
        <w:pStyle w:val="ListBullet"/>
        <w:widowControl/>
        <w:spacing w:after="64" w:line="271" w:lineRule="auto"/>
        <w:ind w:left="374" w:hanging="230"/>
      </w:pPr>
      <w:r>
        <w:rPr>
          <w:rFonts w:ascii="Arial" w:hAnsi="Arial" w:cs="Arial"/>
          <w:color w:val="000000"/>
          <w:sz w:val="21"/>
        </w:rPr>
        <w:t>Um programa único imposto a contextos sociais, culturais e territoriais diferentes.</w:t>
      </w:r>
    </w:p>
    <w:p>
      <w:pPr>
        <w:pStyle w:val="Heading2"/>
        <w:keepNext/>
        <w:widowControl/>
      </w:pPr>
      <w:r>
        <w:t>1.3 Utilizadores</w:t>
      </w:r>
    </w:p>
    <w:p>
      <w:pPr>
        <w:widowControl/>
        <w:spacing w:after="120" w:line="271" w:lineRule="auto"/>
      </w:pPr>
      <w:r>
        <w:rPr>
          <w:rFonts w:ascii="Arial" w:hAnsi="Arial" w:cs="Arial"/>
          <w:color w:val="000000"/>
          <w:sz w:val="21"/>
        </w:rPr>
        <w:t>O Pact pode ser adotado por governos nacionais e locais, empresas, organizações da sociedade civil, universidades, instituições de investigação, fundações, organizações internacionais, investidores, redes comunitárias e movimentos sociais. A obrigação concreta depende do nível de compromisso assumido e do âmbito publicado pela entidade.</w:t>
      </w:r>
    </w:p>
    <w:p>
      <w:pPr>
        <w:pStyle w:val="Heading2"/>
        <w:keepNext/>
        <w:widowControl/>
      </w:pPr>
      <w:r>
        <w:t>1.4 Natureza dos compromissos</w:t>
      </w:r>
    </w:p>
    <w:p>
      <w:pPr>
        <w:widowControl/>
        <w:spacing w:after="120" w:line="271" w:lineRule="auto"/>
      </w:pPr>
      <w:r>
        <w:rPr>
          <w:rFonts w:ascii="Arial" w:hAnsi="Arial" w:cs="Arial"/>
          <w:color w:val="000000"/>
          <w:sz w:val="21"/>
        </w:rPr>
        <w:t>O Pact é um instrumento voluntário, salvo quando os seus requisitos sejam incorporados num contrato, regulamento, decisão pública, condição de financiamento ou outro ato vinculativo. A adesão pública cria, contudo, uma obrigação de honestidade: a entidade deve descrever com precisão o que assumiu, o que executou, que evidência possui e que limitações permanecem.</w:t>
      </w:r>
    </w:p>
    <w:p>
      <w:pPr>
        <w:pStyle w:val="Heading1"/>
        <w:keepNext/>
        <w:widowControl/>
      </w:pPr>
      <w:r>
        <w:t>2 Questão central e conceito de florescimento humano</w:t>
      </w:r>
    </w:p>
    <w:p>
      <w:pPr>
        <w:widowControl/>
        <w:spacing w:after="120" w:line="271" w:lineRule="auto"/>
      </w:pPr>
      <w:r>
        <w:rPr>
          <w:rFonts w:ascii="Arial" w:hAnsi="Arial" w:cs="Arial"/>
          <w:color w:val="000000"/>
          <w:sz w:val="21"/>
        </w:rPr>
        <w:t>A questão orientadora do Humanity Pact é:</w:t>
      </w:r>
    </w:p>
    <w:p>
      <w:pPr>
        <w:widowControl/>
        <w:spacing w:after="120" w:line="271" w:lineRule="auto"/>
      </w:pPr>
      <w:r>
        <w:rPr>
          <w:rFonts w:ascii="Arial" w:hAnsi="Arial" w:cs="Arial"/>
          <w:b/>
          <w:color w:val="000000"/>
          <w:sz w:val="21"/>
        </w:rPr>
        <w:t>Quais são as condições mensuráveis e democraticamente legítimas para que pessoas e comunidades possam prosperar dentro dos limites do planeta?</w:t>
      </w:r>
    </w:p>
    <w:p>
      <w:pPr>
        <w:widowControl/>
        <w:spacing w:after="120" w:line="271" w:lineRule="auto"/>
      </w:pPr>
      <w:r>
        <w:rPr>
          <w:rFonts w:ascii="Arial" w:hAnsi="Arial" w:cs="Arial"/>
          <w:color w:val="000000"/>
          <w:sz w:val="21"/>
        </w:rPr>
        <w:t>O Pact entende florescimento humano como a capacidade efetiva de viver com dignidade, saúde, segurança, pertença, sentido e agência, com acesso justo a recursos e oportunidades e sem transferir danos para outras pessoas, territórios ou gerações.</w:t>
      </w:r>
    </w:p>
    <w:p>
      <w:pPr>
        <w:widowControl/>
        <w:spacing w:after="120" w:line="271" w:lineRule="auto"/>
      </w:pPr>
      <w:r>
        <w:rPr>
          <w:rFonts w:ascii="Arial" w:hAnsi="Arial" w:cs="Arial"/>
          <w:color w:val="000000"/>
          <w:sz w:val="21"/>
        </w:rPr>
        <w:t>A esperança não é tratada como otimismo individual. É uma condição social e política formada por pertença, sentido e agência. O bem-estar não é reduzido a satisfação subjetiva. Inclui condições materiais, físicas, mentais, sociais e institucionais. A inovação não é presumida como benefício. Deve ser avaliada segundo direitos, distribuição, participação, riscos e efeitos de longo prazo.</w:t>
      </w:r>
    </w:p>
    <w:p>
      <w:pPr>
        <w:widowControl/>
        <w:spacing w:after="120" w:line="271" w:lineRule="auto"/>
      </w:pPr>
      <w:r>
        <w:rPr>
          <w:rFonts w:ascii="Arial" w:hAnsi="Arial" w:cs="Arial"/>
          <w:color w:val="000000"/>
          <w:sz w:val="21"/>
        </w:rPr>
        <w:t>O Pact rejeita uma fórmula determinista para o progresso humano. A relação entre dimensões é analisada através de perfis, limiares e regras de não compensação. Um ganho elevado num pilar não apaga uma violação grave noutro.</w:t>
      </w:r>
    </w:p>
    <w:p>
      <w:pPr>
        <w:pStyle w:val="Heading1"/>
        <w:keepNext/>
        <w:pageBreakBefore/>
        <w:widowControl/>
      </w:pPr>
      <w:r>
        <w:t>3 Arquitetura consolidada de 2026</w:t>
      </w:r>
    </w:p>
    <w:p>
      <w:pPr>
        <w:pStyle w:val="Heading2"/>
        <w:keepNext/>
        <w:widowControl/>
      </w:pPr>
      <w:r>
        <w:t>3.1 Orientação PWE</w:t>
      </w:r>
    </w:p>
    <w:p>
      <w:pPr>
        <w:widowControl/>
        <w:spacing w:after="120" w:line="271" w:lineRule="auto"/>
      </w:pPr>
      <w:r>
        <w:rPr>
          <w:rFonts w:ascii="Arial" w:hAnsi="Arial" w:cs="Arial"/>
          <w:color w:val="000000"/>
          <w:sz w:val="21"/>
        </w:rPr>
        <w:t xml:space="preserve">A origem conceptual do Humanity Pact mantém a orientação </w:t>
      </w:r>
      <w:r>
        <w:rPr>
          <w:rFonts w:ascii="Arial" w:hAnsi="Arial" w:cs="Arial"/>
          <w:b/>
          <w:color w:val="000000"/>
          <w:sz w:val="21"/>
        </w:rPr>
        <w:t>People Well Being Environment</w:t>
      </w:r>
      <w:r>
        <w:rPr>
          <w:rFonts w:ascii="Arial" w:hAnsi="Arial" w:cs="Arial"/>
          <w:color w:val="000000"/>
          <w:sz w:val="21"/>
        </w:rPr>
        <w:t>. A versão consolidada utiliza esta orientação como sequência de perguntas e não como uma segunda lista de pilares:</w:t>
      </w:r>
    </w:p>
    <w:p>
      <w:pPr>
        <w:pStyle w:val="ListBullet"/>
        <w:widowControl/>
        <w:spacing w:after="64" w:line="271" w:lineRule="auto"/>
        <w:ind w:left="374" w:hanging="230"/>
      </w:pPr>
      <w:r>
        <w:rPr>
          <w:rFonts w:ascii="Arial" w:hAnsi="Arial" w:cs="Arial"/>
          <w:b/>
          <w:color w:val="000000"/>
          <w:sz w:val="21"/>
        </w:rPr>
        <w:t>People</w:t>
      </w:r>
      <w:r>
        <w:rPr>
          <w:rFonts w:ascii="Arial" w:hAnsi="Arial" w:cs="Arial"/>
          <w:color w:val="000000"/>
          <w:sz w:val="21"/>
        </w:rPr>
        <w:t xml:space="preserve"> determina quem é afetado, representado e capaz de decidir.</w:t>
      </w:r>
    </w:p>
    <w:p>
      <w:pPr>
        <w:pStyle w:val="ListBullet"/>
        <w:widowControl/>
        <w:spacing w:after="64" w:line="271" w:lineRule="auto"/>
        <w:ind w:left="374" w:hanging="230"/>
      </w:pPr>
      <w:r>
        <w:rPr>
          <w:rFonts w:ascii="Arial" w:hAnsi="Arial" w:cs="Arial"/>
          <w:b/>
          <w:color w:val="000000"/>
          <w:sz w:val="21"/>
        </w:rPr>
        <w:t>Well Being</w:t>
      </w:r>
      <w:r>
        <w:rPr>
          <w:rFonts w:ascii="Arial" w:hAnsi="Arial" w:cs="Arial"/>
          <w:color w:val="000000"/>
          <w:sz w:val="21"/>
        </w:rPr>
        <w:t xml:space="preserve"> determina se as condições reais de vida melhoram.</w:t>
      </w:r>
    </w:p>
    <w:p>
      <w:pPr>
        <w:pStyle w:val="ListBullet"/>
        <w:widowControl/>
        <w:spacing w:after="64" w:line="271" w:lineRule="auto"/>
        <w:ind w:left="374" w:hanging="230"/>
      </w:pPr>
      <w:r>
        <w:rPr>
          <w:rFonts w:ascii="Arial" w:hAnsi="Arial" w:cs="Arial"/>
          <w:b/>
          <w:color w:val="000000"/>
          <w:sz w:val="21"/>
        </w:rPr>
        <w:t>Environment</w:t>
      </w:r>
      <w:r>
        <w:rPr>
          <w:rFonts w:ascii="Arial" w:hAnsi="Arial" w:cs="Arial"/>
          <w:color w:val="000000"/>
          <w:sz w:val="21"/>
        </w:rPr>
        <w:t xml:space="preserve"> determina se essa melhoria respeita as condições ecológicas que sustentam a vida.</w:t>
      </w:r>
    </w:p>
    <w:p>
      <w:pPr>
        <w:widowControl/>
        <w:spacing w:after="120" w:line="271" w:lineRule="auto"/>
      </w:pPr>
      <w:r>
        <w:rPr>
          <w:rFonts w:ascii="Arial" w:hAnsi="Arial" w:cs="Arial"/>
          <w:color w:val="000000"/>
          <w:sz w:val="21"/>
        </w:rPr>
        <w:t>O sinal adicional da formulação PWE+ representa as correções necessárias para que estes resultados sejam justos, legítimos e sustentáveis. Na arquitetura consolidada, essas correções estão distribuídas pelos seis pilares e pelas três garantias transversais.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val="true"/>
        </w:trPr>
        <w:tc>
          <w:tcPr>
            <w:tcW w:type="dxa" w:w="1944"/>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Origem PWE</w:t>
            </w:r>
          </w:p>
        </w:tc>
        <w:tc>
          <w:tcPr>
            <w:tcW w:type="dxa" w:w="4104"/>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Função na versão consolidada</w:t>
            </w:r>
          </w:p>
        </w:tc>
        <w:tc>
          <w:tcPr>
            <w:tcW w:type="dxa" w:w="3888"/>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Expressão operacional</w:t>
            </w:r>
          </w:p>
        </w:tc>
      </w:tr>
      <w:tr>
        <w:trPr>
          <w:cantSplit w:val="true"/>
        </w:trPr>
        <w:tc>
          <w:tcPr>
            <w:tcW w:type="dxa" w:w="1944"/>
            <w:vAlign w:val="center"/>
            <w:tcMar>
              <w:top w:w="100" w:type="dxa"/>
              <w:start w:w="120" w:type="dxa"/>
              <w:bottom w:w="100" w:type="dxa"/>
              <w:end w:w="120" w:type="dxa"/>
            </w:tcMar>
          </w:tcPr>
          <w:p>
            <w:pPr>
              <w:spacing w:after="0" w:line="254" w:lineRule="auto"/>
            </w:pPr>
            <w:r>
              <w:rPr>
                <w:rFonts w:ascii="Arial" w:hAnsi="Arial" w:cs="Arial"/>
                <w:b/>
                <w:color w:val="000000"/>
                <w:sz w:val="17"/>
              </w:rPr>
              <w:t>People</w:t>
            </w:r>
          </w:p>
        </w:tc>
        <w:tc>
          <w:tcPr>
            <w:tcW w:type="dxa" w:w="4104"/>
            <w:vAlign w:val="center"/>
            <w:tcMar>
              <w:top w:w="100" w:type="dxa"/>
              <w:start w:w="120" w:type="dxa"/>
              <w:bottom w:w="100" w:type="dxa"/>
              <w:end w:w="120" w:type="dxa"/>
            </w:tcMar>
          </w:tcPr>
          <w:p>
            <w:pPr>
              <w:spacing w:after="0" w:line="254" w:lineRule="auto"/>
            </w:pPr>
            <w:r>
              <w:rPr>
                <w:rFonts w:ascii="Arial" w:hAnsi="Arial" w:cs="Arial"/>
                <w:color w:val="000000"/>
                <w:sz w:val="17"/>
              </w:rPr>
              <w:t>Identifica as pessoas e comunidades afetadas e o seu poder de decisão</w:t>
            </w:r>
          </w:p>
        </w:tc>
        <w:tc>
          <w:tcPr>
            <w:tcW w:type="dxa" w:w="3888"/>
            <w:vAlign w:val="center"/>
            <w:tcMar>
              <w:top w:w="100" w:type="dxa"/>
              <w:start w:w="120" w:type="dxa"/>
              <w:bottom w:w="100" w:type="dxa"/>
              <w:end w:w="120" w:type="dxa"/>
            </w:tcMar>
          </w:tcPr>
          <w:p>
            <w:pPr>
              <w:spacing w:after="0" w:line="254" w:lineRule="auto"/>
            </w:pPr>
            <w:r>
              <w:rPr>
                <w:rFonts w:ascii="Arial" w:hAnsi="Arial" w:cs="Arial"/>
                <w:color w:val="000000"/>
                <w:sz w:val="17"/>
              </w:rPr>
              <w:t>Justiça, Cultura, Esperança e a garantia de Inclusão e Equidade</w:t>
            </w:r>
          </w:p>
        </w:tc>
      </w:tr>
      <w:tr>
        <w:trPr>
          <w:cantSplit w:val="true"/>
        </w:trPr>
        <w:tc>
          <w:tcPr>
            <w:tcW w:type="dxa" w:w="1944"/>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Well Being</w:t>
            </w:r>
          </w:p>
        </w:tc>
        <w:tc>
          <w:tcPr>
            <w:tcW w:type="dxa" w:w="4104"/>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Define a qualidade de vida como resultado humano central</w:t>
            </w:r>
          </w:p>
        </w:tc>
        <w:tc>
          <w:tcPr>
            <w:tcW w:type="dxa" w:w="3888"/>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Pilar de Bem-estar e indicadores materiais, físicos, mentais e sociais</w:t>
            </w:r>
          </w:p>
        </w:tc>
      </w:tr>
      <w:tr>
        <w:trPr>
          <w:cantSplit w:val="true"/>
        </w:trPr>
        <w:tc>
          <w:tcPr>
            <w:tcW w:type="dxa" w:w="1944"/>
            <w:vAlign w:val="center"/>
            <w:tcMar>
              <w:top w:w="100" w:type="dxa"/>
              <w:start w:w="120" w:type="dxa"/>
              <w:bottom w:w="100" w:type="dxa"/>
              <w:end w:w="120" w:type="dxa"/>
            </w:tcMar>
          </w:tcPr>
          <w:p>
            <w:pPr>
              <w:spacing w:after="0" w:line="254" w:lineRule="auto"/>
            </w:pPr>
            <w:r>
              <w:rPr>
                <w:rFonts w:ascii="Arial" w:hAnsi="Arial" w:cs="Arial"/>
                <w:b/>
                <w:color w:val="000000"/>
                <w:sz w:val="17"/>
              </w:rPr>
              <w:t>Environment</w:t>
            </w:r>
          </w:p>
        </w:tc>
        <w:tc>
          <w:tcPr>
            <w:tcW w:type="dxa" w:w="4104"/>
            <w:vAlign w:val="center"/>
            <w:tcMar>
              <w:top w:w="100" w:type="dxa"/>
              <w:start w:w="120" w:type="dxa"/>
              <w:bottom w:w="100" w:type="dxa"/>
              <w:end w:w="120" w:type="dxa"/>
            </w:tcMar>
          </w:tcPr>
          <w:p>
            <w:pPr>
              <w:spacing w:after="0" w:line="254" w:lineRule="auto"/>
            </w:pPr>
            <w:r>
              <w:rPr>
                <w:rFonts w:ascii="Arial" w:hAnsi="Arial" w:cs="Arial"/>
                <w:color w:val="000000"/>
                <w:sz w:val="17"/>
              </w:rPr>
              <w:t>Define as condições ecológicas que sustentam a vida</w:t>
            </w:r>
          </w:p>
        </w:tc>
        <w:tc>
          <w:tcPr>
            <w:tcW w:type="dxa" w:w="3888"/>
            <w:vAlign w:val="center"/>
            <w:tcMar>
              <w:top w:w="100" w:type="dxa"/>
              <w:start w:w="120" w:type="dxa"/>
              <w:bottom w:w="100" w:type="dxa"/>
              <w:end w:w="120" w:type="dxa"/>
            </w:tcMar>
          </w:tcPr>
          <w:p>
            <w:pPr>
              <w:spacing w:after="0" w:line="254" w:lineRule="auto"/>
            </w:pPr>
            <w:r>
              <w:rPr>
                <w:rFonts w:ascii="Arial" w:hAnsi="Arial" w:cs="Arial"/>
                <w:color w:val="000000"/>
                <w:sz w:val="17"/>
              </w:rPr>
              <w:t>Garantia de Equilíbrio Planetário e teto ecológico</w:t>
            </w:r>
          </w:p>
        </w:tc>
      </w:tr>
      <w:tr>
        <w:trPr>
          <w:cantSplit w:val="true"/>
        </w:trPr>
        <w:tc>
          <w:tcPr>
            <w:tcW w:type="dxa" w:w="1944"/>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Power</w:t>
            </w:r>
          </w:p>
        </w:tc>
        <w:tc>
          <w:tcPr>
            <w:tcW w:type="dxa" w:w="4104"/>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Examina quem decide, controla recursos e pode contestar</w:t>
            </w:r>
          </w:p>
        </w:tc>
        <w:tc>
          <w:tcPr>
            <w:tcW w:type="dxa" w:w="3888"/>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Justiça, Justiça Económica e Transparência Responsabilização e Participação</w:t>
            </w:r>
          </w:p>
        </w:tc>
      </w:tr>
      <w:tr>
        <w:trPr>
          <w:cantSplit w:val="true"/>
        </w:trPr>
        <w:tc>
          <w:tcPr>
            <w:tcW w:type="dxa" w:w="1944"/>
            <w:vAlign w:val="center"/>
            <w:tcMar>
              <w:top w:w="100" w:type="dxa"/>
              <w:start w:w="120" w:type="dxa"/>
              <w:bottom w:w="100" w:type="dxa"/>
              <w:end w:w="120" w:type="dxa"/>
            </w:tcMar>
          </w:tcPr>
          <w:p>
            <w:pPr>
              <w:spacing w:after="0" w:line="254" w:lineRule="auto"/>
            </w:pPr>
            <w:r>
              <w:rPr>
                <w:rFonts w:ascii="Arial" w:hAnsi="Arial" w:cs="Arial"/>
                <w:b/>
                <w:color w:val="000000"/>
                <w:sz w:val="17"/>
              </w:rPr>
              <w:t>Future Viability</w:t>
            </w:r>
          </w:p>
        </w:tc>
        <w:tc>
          <w:tcPr>
            <w:tcW w:type="dxa" w:w="4104"/>
            <w:vAlign w:val="center"/>
            <w:tcMar>
              <w:top w:w="100" w:type="dxa"/>
              <w:start w:w="120" w:type="dxa"/>
              <w:bottom w:w="100" w:type="dxa"/>
              <w:end w:w="120" w:type="dxa"/>
            </w:tcMar>
          </w:tcPr>
          <w:p>
            <w:pPr>
              <w:spacing w:after="0" w:line="254" w:lineRule="auto"/>
            </w:pPr>
            <w:r>
              <w:rPr>
                <w:rFonts w:ascii="Arial" w:hAnsi="Arial" w:cs="Arial"/>
                <w:color w:val="000000"/>
                <w:sz w:val="17"/>
              </w:rPr>
              <w:t>Testa riscos e capacidades de longo prazo</w:t>
            </w:r>
          </w:p>
        </w:tc>
        <w:tc>
          <w:tcPr>
            <w:tcW w:type="dxa" w:w="3888"/>
            <w:vAlign w:val="center"/>
            <w:tcMar>
              <w:top w:w="100" w:type="dxa"/>
              <w:start w:w="120" w:type="dxa"/>
              <w:bottom w:w="100" w:type="dxa"/>
              <w:end w:w="120" w:type="dxa"/>
            </w:tcMar>
          </w:tcPr>
          <w:p>
            <w:pPr>
              <w:spacing w:after="0" w:line="254" w:lineRule="auto"/>
            </w:pPr>
            <w:r>
              <w:rPr>
                <w:rFonts w:ascii="Arial" w:hAnsi="Arial" w:cs="Arial"/>
                <w:color w:val="000000"/>
                <w:sz w:val="17"/>
              </w:rPr>
              <w:t>Futurismo e responsabilidade intergeracional</w:t>
            </w:r>
          </w:p>
        </w:tc>
      </w:tr>
    </w:tbl>
    <w:p>
      <w:pPr>
        <w:widowControl/>
        <w:spacing w:after="40"/>
      </w:pPr>
    </w:p>
    <w:p>
      <w:pPr>
        <w:pStyle w:val="Heading2"/>
        <w:keepNext/>
        <w:widowControl/>
      </w:pPr>
      <w:r>
        <w:t>3.2 Seis pilares</w:t>
      </w:r>
    </w:p>
    <w:p>
      <w:pPr>
        <w:widowControl/>
        <w:spacing w:after="120" w:line="271" w:lineRule="auto"/>
      </w:pPr>
      <w:r>
        <w:rPr>
          <w:rFonts w:ascii="Arial" w:hAnsi="Arial" w:cs="Arial"/>
          <w:color w:val="000000"/>
          <w:sz w:val="21"/>
        </w:rPr>
        <w:t>Os pilares definem os campos substantivos do progresso humano e correspondem à arquitetura do Humanity Index.</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val="true"/>
        </w:trPr>
        <w:tc>
          <w:tcPr>
            <w:tcW w:type="dxa" w:w="1944"/>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Pilar</w:t>
            </w:r>
          </w:p>
        </w:tc>
        <w:tc>
          <w:tcPr>
            <w:tcW w:type="dxa" w:w="3671"/>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Pergunta central</w:t>
            </w:r>
          </w:p>
        </w:tc>
        <w:tc>
          <w:tcPr>
            <w:tcW w:type="dxa" w:w="4320"/>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Âmbito principal</w:t>
            </w:r>
          </w:p>
        </w:tc>
      </w:tr>
      <w:tr>
        <w:trPr>
          <w:cantSplit w:val="true"/>
        </w:trPr>
        <w:tc>
          <w:tcPr>
            <w:tcW w:type="dxa" w:w="1944"/>
            <w:vAlign w:val="center"/>
            <w:tcMar>
              <w:top w:w="100" w:type="dxa"/>
              <w:start w:w="120" w:type="dxa"/>
              <w:bottom w:w="100" w:type="dxa"/>
              <w:end w:w="120" w:type="dxa"/>
            </w:tcMar>
          </w:tcPr>
          <w:p>
            <w:pPr>
              <w:spacing w:after="0" w:line="254" w:lineRule="auto"/>
            </w:pPr>
            <w:r>
              <w:rPr>
                <w:rFonts w:ascii="Arial" w:hAnsi="Arial" w:cs="Arial"/>
                <w:b/>
                <w:color w:val="000000"/>
                <w:sz w:val="17"/>
              </w:rPr>
              <w:t>Justiça</w:t>
            </w:r>
          </w:p>
        </w:tc>
        <w:tc>
          <w:tcPr>
            <w:tcW w:type="dxa" w:w="3671"/>
            <w:vAlign w:val="center"/>
            <w:tcMar>
              <w:top w:w="100" w:type="dxa"/>
              <w:start w:w="120" w:type="dxa"/>
              <w:bottom w:w="100" w:type="dxa"/>
              <w:end w:w="120" w:type="dxa"/>
            </w:tcMar>
          </w:tcPr>
          <w:p>
            <w:pPr>
              <w:spacing w:after="0" w:line="254" w:lineRule="auto"/>
            </w:pPr>
            <w:r>
              <w:rPr>
                <w:rFonts w:ascii="Arial" w:hAnsi="Arial" w:cs="Arial"/>
                <w:color w:val="000000"/>
                <w:sz w:val="17"/>
              </w:rPr>
              <w:t>Os direitos são efetivos e as instituições respondem pelo dano?</w:t>
            </w:r>
          </w:p>
        </w:tc>
        <w:tc>
          <w:tcPr>
            <w:tcW w:type="dxa" w:w="4320"/>
            <w:vAlign w:val="center"/>
            <w:tcMar>
              <w:top w:w="100" w:type="dxa"/>
              <w:start w:w="120" w:type="dxa"/>
              <w:bottom w:w="100" w:type="dxa"/>
              <w:end w:w="120" w:type="dxa"/>
            </w:tcMar>
          </w:tcPr>
          <w:p>
            <w:pPr>
              <w:spacing w:after="0" w:line="254" w:lineRule="auto"/>
            </w:pPr>
            <w:r>
              <w:rPr>
                <w:rFonts w:ascii="Arial" w:hAnsi="Arial" w:cs="Arial"/>
                <w:color w:val="000000"/>
                <w:sz w:val="17"/>
              </w:rPr>
              <w:t>Direitos, segurança, igualdade perante a lei, democracia, acesso à justiça e reparação</w:t>
            </w:r>
          </w:p>
        </w:tc>
      </w:tr>
      <w:tr>
        <w:trPr>
          <w:cantSplit w:val="true"/>
        </w:trPr>
        <w:tc>
          <w:tcPr>
            <w:tcW w:type="dxa" w:w="1944"/>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Futurismo</w:t>
            </w:r>
          </w:p>
        </w:tc>
        <w:tc>
          <w:tcPr>
            <w:tcW w:type="dxa" w:w="3671"/>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As decisões presentes aumentam a capacidade de escolher e proteger futuros possíveis?</w:t>
            </w:r>
          </w:p>
        </w:tc>
        <w:tc>
          <w:tcPr>
            <w:tcW w:type="dxa" w:w="4320"/>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Antecipação, inovação responsável, governação tecnológica, resiliência e responsabilidade intergeracional</w:t>
            </w:r>
          </w:p>
        </w:tc>
      </w:tr>
      <w:tr>
        <w:trPr>
          <w:cantSplit w:val="true"/>
        </w:trPr>
        <w:tc>
          <w:tcPr>
            <w:tcW w:type="dxa" w:w="1944"/>
            <w:vAlign w:val="center"/>
            <w:tcMar>
              <w:top w:w="100" w:type="dxa"/>
              <w:start w:w="120" w:type="dxa"/>
              <w:bottom w:w="100" w:type="dxa"/>
              <w:end w:w="120" w:type="dxa"/>
            </w:tcMar>
          </w:tcPr>
          <w:p>
            <w:pPr>
              <w:spacing w:after="0" w:line="254" w:lineRule="auto"/>
            </w:pPr>
            <w:r>
              <w:rPr>
                <w:rFonts w:ascii="Arial" w:hAnsi="Arial" w:cs="Arial"/>
                <w:b/>
                <w:color w:val="000000"/>
                <w:sz w:val="17"/>
              </w:rPr>
              <w:t>Cultura</w:t>
            </w:r>
          </w:p>
        </w:tc>
        <w:tc>
          <w:tcPr>
            <w:tcW w:type="dxa" w:w="3671"/>
            <w:vAlign w:val="center"/>
            <w:tcMar>
              <w:top w:w="100" w:type="dxa"/>
              <w:start w:w="120" w:type="dxa"/>
              <w:bottom w:w="100" w:type="dxa"/>
              <w:end w:w="120" w:type="dxa"/>
            </w:tcMar>
          </w:tcPr>
          <w:p>
            <w:pPr>
              <w:spacing w:after="0" w:line="254" w:lineRule="auto"/>
            </w:pPr>
            <w:r>
              <w:rPr>
                <w:rFonts w:ascii="Arial" w:hAnsi="Arial" w:cs="Arial"/>
                <w:color w:val="000000"/>
                <w:sz w:val="17"/>
              </w:rPr>
              <w:t>Quem é reconhecido, representado, lembrado e autorizado a pertencer?</w:t>
            </w:r>
          </w:p>
        </w:tc>
        <w:tc>
          <w:tcPr>
            <w:tcW w:type="dxa" w:w="4320"/>
            <w:vAlign w:val="center"/>
            <w:tcMar>
              <w:top w:w="100" w:type="dxa"/>
              <w:start w:w="120" w:type="dxa"/>
              <w:bottom w:w="100" w:type="dxa"/>
              <w:end w:w="120" w:type="dxa"/>
            </w:tcMar>
          </w:tcPr>
          <w:p>
            <w:pPr>
              <w:spacing w:after="0" w:line="254" w:lineRule="auto"/>
            </w:pPr>
            <w:r>
              <w:rPr>
                <w:rFonts w:ascii="Arial" w:hAnsi="Arial" w:cs="Arial"/>
                <w:color w:val="000000"/>
                <w:sz w:val="17"/>
              </w:rPr>
              <w:t>Identidade, memória, expressão, línguas, património, narrativas e pluralidade de conhecimentos</w:t>
            </w:r>
          </w:p>
        </w:tc>
      </w:tr>
      <w:tr>
        <w:trPr>
          <w:cantSplit w:val="true"/>
        </w:trPr>
        <w:tc>
          <w:tcPr>
            <w:tcW w:type="dxa" w:w="1944"/>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Esperança</w:t>
            </w:r>
          </w:p>
        </w:tc>
        <w:tc>
          <w:tcPr>
            <w:tcW w:type="dxa" w:w="3671"/>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As pessoas e comunidades acreditam que podem influenciar e construir o futuro?</w:t>
            </w:r>
          </w:p>
        </w:tc>
        <w:tc>
          <w:tcPr>
            <w:tcW w:type="dxa" w:w="4320"/>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Pertença, sentido, agência, confiança cívica e capacidade de ação coletiva</w:t>
            </w:r>
          </w:p>
        </w:tc>
      </w:tr>
      <w:tr>
        <w:trPr>
          <w:cantSplit w:val="true"/>
        </w:trPr>
        <w:tc>
          <w:tcPr>
            <w:tcW w:type="dxa" w:w="1944"/>
            <w:vAlign w:val="center"/>
            <w:tcMar>
              <w:top w:w="100" w:type="dxa"/>
              <w:start w:w="120" w:type="dxa"/>
              <w:bottom w:w="100" w:type="dxa"/>
              <w:end w:w="120" w:type="dxa"/>
            </w:tcMar>
          </w:tcPr>
          <w:p>
            <w:pPr>
              <w:spacing w:after="0" w:line="254" w:lineRule="auto"/>
            </w:pPr>
            <w:r>
              <w:rPr>
                <w:rFonts w:ascii="Arial" w:hAnsi="Arial" w:cs="Arial"/>
                <w:b/>
                <w:color w:val="000000"/>
                <w:sz w:val="17"/>
              </w:rPr>
              <w:t>Justiça Económica</w:t>
            </w:r>
          </w:p>
        </w:tc>
        <w:tc>
          <w:tcPr>
            <w:tcW w:type="dxa" w:w="3671"/>
            <w:vAlign w:val="center"/>
            <w:tcMar>
              <w:top w:w="100" w:type="dxa"/>
              <w:start w:w="120" w:type="dxa"/>
              <w:bottom w:w="100" w:type="dxa"/>
              <w:end w:w="120" w:type="dxa"/>
            </w:tcMar>
          </w:tcPr>
          <w:p>
            <w:pPr>
              <w:spacing w:after="0" w:line="254" w:lineRule="auto"/>
            </w:pPr>
            <w:r>
              <w:rPr>
                <w:rFonts w:ascii="Arial" w:hAnsi="Arial" w:cs="Arial"/>
                <w:color w:val="000000"/>
                <w:sz w:val="17"/>
              </w:rPr>
              <w:t>Como são distribuídos rendimento, riqueza, propriedade, oportunidades e poder económico?</w:t>
            </w:r>
          </w:p>
        </w:tc>
        <w:tc>
          <w:tcPr>
            <w:tcW w:type="dxa" w:w="4320"/>
            <w:vAlign w:val="center"/>
            <w:tcMar>
              <w:top w:w="100" w:type="dxa"/>
              <w:start w:w="120" w:type="dxa"/>
              <w:bottom w:w="100" w:type="dxa"/>
              <w:end w:w="120" w:type="dxa"/>
            </w:tcMar>
          </w:tcPr>
          <w:p>
            <w:pPr>
              <w:spacing w:after="0" w:line="254" w:lineRule="auto"/>
            </w:pPr>
            <w:r>
              <w:rPr>
                <w:rFonts w:ascii="Arial" w:hAnsi="Arial" w:cs="Arial"/>
                <w:color w:val="000000"/>
                <w:sz w:val="17"/>
              </w:rPr>
              <w:t>Trabalho digno, fiscalidade, capital, propriedade, proteção social, investimento e reparação económica</w:t>
            </w:r>
          </w:p>
        </w:tc>
      </w:tr>
      <w:tr>
        <w:trPr>
          <w:cantSplit w:val="true"/>
        </w:trPr>
        <w:tc>
          <w:tcPr>
            <w:tcW w:type="dxa" w:w="1944"/>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Bem-estar</w:t>
            </w:r>
          </w:p>
        </w:tc>
        <w:tc>
          <w:tcPr>
            <w:tcW w:type="dxa" w:w="3671"/>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As pessoas dispõem das condições materiais, físicas, mentais e sociais para viver com dignidade?</w:t>
            </w:r>
          </w:p>
        </w:tc>
        <w:tc>
          <w:tcPr>
            <w:tcW w:type="dxa" w:w="4320"/>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Saúde, cuidados, habitação, alimentação, água, segurança, tempo, relações e qualidade de vida</w:t>
            </w:r>
          </w:p>
        </w:tc>
      </w:tr>
    </w:tbl>
    <w:p>
      <w:pPr>
        <w:widowControl/>
        <w:spacing w:after="40"/>
      </w:pPr>
    </w:p>
    <w:p>
      <w:pPr>
        <w:pStyle w:val="Heading2"/>
        <w:keepNext/>
        <w:widowControl/>
      </w:pPr>
      <w:r>
        <w:t>3.3 Três garantias transversais</w:t>
      </w:r>
    </w:p>
    <w:p>
      <w:pPr>
        <w:widowControl/>
        <w:spacing w:after="120" w:line="271" w:lineRule="auto"/>
      </w:pPr>
      <w:r>
        <w:rPr>
          <w:rFonts w:ascii="Arial" w:hAnsi="Arial" w:cs="Arial"/>
          <w:color w:val="000000"/>
          <w:sz w:val="21"/>
        </w:rPr>
        <w:t>As garantias aplicam-se a todos os pilares, entidades, indicadores e fases de implementação.</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val="true"/>
        </w:trPr>
        <w:tc>
          <w:tcPr>
            <w:tcW w:type="dxa" w:w="2664"/>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Garantia transversal</w:t>
            </w:r>
          </w:p>
        </w:tc>
        <w:tc>
          <w:tcPr>
            <w:tcW w:type="dxa" w:w="3960"/>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Teste obrigatório</w:t>
            </w:r>
          </w:p>
        </w:tc>
        <w:tc>
          <w:tcPr>
            <w:tcW w:type="dxa" w:w="3311"/>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Consequência</w:t>
            </w:r>
          </w:p>
        </w:tc>
      </w:tr>
      <w:tr>
        <w:trPr>
          <w:cantSplit w:val="true"/>
        </w:trPr>
        <w:tc>
          <w:tcPr>
            <w:tcW w:type="dxa" w:w="2664"/>
            <w:vAlign w:val="center"/>
            <w:tcMar>
              <w:top w:w="100" w:type="dxa"/>
              <w:start w:w="120" w:type="dxa"/>
              <w:bottom w:w="100" w:type="dxa"/>
              <w:end w:w="120" w:type="dxa"/>
            </w:tcMar>
          </w:tcPr>
          <w:p>
            <w:pPr>
              <w:spacing w:after="0" w:line="254" w:lineRule="auto"/>
            </w:pPr>
            <w:r>
              <w:rPr>
                <w:rFonts w:ascii="Arial" w:hAnsi="Arial" w:cs="Arial"/>
                <w:b/>
                <w:color w:val="000000"/>
                <w:sz w:val="17"/>
              </w:rPr>
              <w:t>Inclusão e Equidade</w:t>
            </w:r>
          </w:p>
        </w:tc>
        <w:tc>
          <w:tcPr>
            <w:tcW w:type="dxa" w:w="3960"/>
            <w:vAlign w:val="center"/>
            <w:tcMar>
              <w:top w:w="100" w:type="dxa"/>
              <w:start w:w="120" w:type="dxa"/>
              <w:bottom w:w="100" w:type="dxa"/>
              <w:end w:w="120" w:type="dxa"/>
            </w:tcMar>
          </w:tcPr>
          <w:p>
            <w:pPr>
              <w:spacing w:after="0" w:line="254" w:lineRule="auto"/>
            </w:pPr>
            <w:r>
              <w:rPr>
                <w:rFonts w:ascii="Arial" w:hAnsi="Arial" w:cs="Arial"/>
                <w:color w:val="000000"/>
                <w:sz w:val="17"/>
              </w:rPr>
              <w:t>Quem beneficia, quem suporta os custos e quem permanece invisível?</w:t>
            </w:r>
          </w:p>
        </w:tc>
        <w:tc>
          <w:tcPr>
            <w:tcW w:type="dxa" w:w="3311"/>
            <w:vAlign w:val="center"/>
            <w:tcMar>
              <w:top w:w="100" w:type="dxa"/>
              <w:start w:w="120" w:type="dxa"/>
              <w:bottom w:w="100" w:type="dxa"/>
              <w:end w:w="120" w:type="dxa"/>
            </w:tcMar>
          </w:tcPr>
          <w:p>
            <w:pPr>
              <w:spacing w:after="0" w:line="254" w:lineRule="auto"/>
            </w:pPr>
            <w:r>
              <w:rPr>
                <w:rFonts w:ascii="Arial" w:hAnsi="Arial" w:cs="Arial"/>
                <w:color w:val="000000"/>
                <w:sz w:val="17"/>
              </w:rPr>
              <w:t>Os resultados são desagregados e as desigualdades condicionam a avaliação</w:t>
            </w:r>
          </w:p>
        </w:tc>
      </w:tr>
      <w:tr>
        <w:trPr>
          <w:cantSplit w:val="true"/>
        </w:trPr>
        <w:tc>
          <w:tcPr>
            <w:tcW w:type="dxa" w:w="2664"/>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Equilíbrio Planetário</w:t>
            </w:r>
          </w:p>
        </w:tc>
        <w:tc>
          <w:tcPr>
            <w:tcW w:type="dxa" w:w="3960"/>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O resultado respeita limites ecológicos e distribui de forma justa os custos da transição?</w:t>
            </w:r>
          </w:p>
        </w:tc>
        <w:tc>
          <w:tcPr>
            <w:tcW w:type="dxa" w:w="3311"/>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Danos ambientais críticos não podem ser compensados por ganhos noutras áreas</w:t>
            </w:r>
          </w:p>
        </w:tc>
      </w:tr>
      <w:tr>
        <w:trPr>
          <w:cantSplit w:val="true"/>
        </w:trPr>
        <w:tc>
          <w:tcPr>
            <w:tcW w:type="dxa" w:w="2664"/>
            <w:vAlign w:val="center"/>
            <w:tcMar>
              <w:top w:w="100" w:type="dxa"/>
              <w:start w:w="120" w:type="dxa"/>
              <w:bottom w:w="100" w:type="dxa"/>
              <w:end w:w="120" w:type="dxa"/>
            </w:tcMar>
          </w:tcPr>
          <w:p>
            <w:pPr>
              <w:spacing w:after="0" w:line="254" w:lineRule="auto"/>
            </w:pPr>
            <w:r>
              <w:rPr>
                <w:rFonts w:ascii="Arial" w:hAnsi="Arial" w:cs="Arial"/>
                <w:b/>
                <w:color w:val="000000"/>
                <w:sz w:val="17"/>
              </w:rPr>
              <w:t>Transparência Responsabilização e Participação</w:t>
            </w:r>
          </w:p>
        </w:tc>
        <w:tc>
          <w:tcPr>
            <w:tcW w:type="dxa" w:w="3960"/>
            <w:vAlign w:val="center"/>
            <w:tcMar>
              <w:top w:w="100" w:type="dxa"/>
              <w:start w:w="120" w:type="dxa"/>
              <w:bottom w:w="100" w:type="dxa"/>
              <w:end w:w="120" w:type="dxa"/>
            </w:tcMar>
          </w:tcPr>
          <w:p>
            <w:pPr>
              <w:spacing w:after="0" w:line="254" w:lineRule="auto"/>
            </w:pPr>
            <w:r>
              <w:rPr>
                <w:rFonts w:ascii="Arial" w:hAnsi="Arial" w:cs="Arial"/>
                <w:color w:val="000000"/>
                <w:sz w:val="17"/>
              </w:rPr>
              <w:t>É possível conhecer, contestar e verificar decisões, recursos, dados e resultados?</w:t>
            </w:r>
          </w:p>
        </w:tc>
        <w:tc>
          <w:tcPr>
            <w:tcW w:type="dxa" w:w="3311"/>
            <w:vAlign w:val="center"/>
            <w:tcMar>
              <w:top w:w="100" w:type="dxa"/>
              <w:start w:w="120" w:type="dxa"/>
              <w:bottom w:w="100" w:type="dxa"/>
              <w:end w:w="120" w:type="dxa"/>
            </w:tcMar>
          </w:tcPr>
          <w:p>
            <w:pPr>
              <w:spacing w:after="0" w:line="254" w:lineRule="auto"/>
            </w:pPr>
            <w:r>
              <w:rPr>
                <w:rFonts w:ascii="Arial" w:hAnsi="Arial" w:cs="Arial"/>
                <w:color w:val="000000"/>
                <w:sz w:val="17"/>
              </w:rPr>
              <w:t>Sem evidência rastreável e vias de reparação não existe reconhecimento de desempenho</w:t>
            </w:r>
          </w:p>
        </w:tc>
      </w:tr>
    </w:tbl>
    <w:p>
      <w:pPr>
        <w:widowControl/>
        <w:spacing w:after="40"/>
      </w:pPr>
    </w:p>
    <w:p>
      <w:pPr>
        <w:pStyle w:val="Heading2"/>
        <w:keepNext/>
        <w:widowControl/>
      </w:pPr>
      <w:r>
        <w:t>3.4 Salvaguardas não compensáveis</w:t>
      </w:r>
    </w:p>
    <w:p>
      <w:pPr>
        <w:widowControl/>
        <w:spacing w:after="120" w:line="271" w:lineRule="auto"/>
      </w:pPr>
      <w:r>
        <w:rPr>
          <w:rFonts w:ascii="Arial" w:hAnsi="Arial" w:cs="Arial"/>
          <w:color w:val="000000"/>
          <w:sz w:val="21"/>
        </w:rPr>
        <w:t>Uma pontuação agregada nunca pode ocultar a violação de condições mínimas. O Pact utiliza três limiares substantivos e uma condição de integridade.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val="true"/>
        </w:trPr>
        <w:tc>
          <w:tcPr>
            <w:tcW w:type="dxa" w:w="2088"/>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Salvaguarda</w:t>
            </w:r>
          </w:p>
        </w:tc>
        <w:tc>
          <w:tcPr>
            <w:tcW w:type="dxa" w:w="4752"/>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Condição mínima</w:t>
            </w:r>
          </w:p>
        </w:tc>
        <w:tc>
          <w:tcPr>
            <w:tcW w:type="dxa" w:w="3096"/>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Efeito na avaliação</w:t>
            </w:r>
          </w:p>
        </w:tc>
      </w:tr>
      <w:tr>
        <w:trPr>
          <w:cantSplit w:val="true"/>
        </w:trPr>
        <w:tc>
          <w:tcPr>
            <w:tcW w:type="dxa" w:w="2088"/>
            <w:vAlign w:val="center"/>
            <w:tcMar>
              <w:top w:w="100" w:type="dxa"/>
              <w:start w:w="120" w:type="dxa"/>
              <w:bottom w:w="100" w:type="dxa"/>
              <w:end w:w="120" w:type="dxa"/>
            </w:tcMar>
          </w:tcPr>
          <w:p>
            <w:pPr>
              <w:spacing w:after="0" w:line="254" w:lineRule="auto"/>
            </w:pPr>
            <w:r>
              <w:rPr>
                <w:rFonts w:ascii="Arial" w:hAnsi="Arial" w:cs="Arial"/>
                <w:b/>
                <w:color w:val="000000"/>
                <w:sz w:val="17"/>
              </w:rPr>
              <w:t>Piso de Dignidade</w:t>
            </w:r>
          </w:p>
        </w:tc>
        <w:tc>
          <w:tcPr>
            <w:tcW w:type="dxa" w:w="4752"/>
            <w:vAlign w:val="center"/>
            <w:tcMar>
              <w:top w:w="100" w:type="dxa"/>
              <w:start w:w="120" w:type="dxa"/>
              <w:bottom w:w="100" w:type="dxa"/>
              <w:end w:w="120" w:type="dxa"/>
            </w:tcMar>
          </w:tcPr>
          <w:p>
            <w:pPr>
              <w:spacing w:after="0" w:line="254" w:lineRule="auto"/>
            </w:pPr>
            <w:r>
              <w:rPr>
                <w:rFonts w:ascii="Arial" w:hAnsi="Arial" w:cs="Arial"/>
                <w:color w:val="000000"/>
                <w:sz w:val="17"/>
              </w:rPr>
              <w:t>Acesso efetivo a alimentação, água, habitação, saúde, educação, segurança, identidade jurídica, cuidados e proteção material básica</w:t>
            </w:r>
          </w:p>
        </w:tc>
        <w:tc>
          <w:tcPr>
            <w:tcW w:type="dxa" w:w="3096"/>
            <w:vAlign w:val="center"/>
            <w:tcMar>
              <w:top w:w="100" w:type="dxa"/>
              <w:start w:w="120" w:type="dxa"/>
              <w:bottom w:w="100" w:type="dxa"/>
              <w:end w:w="120" w:type="dxa"/>
            </w:tcMar>
          </w:tcPr>
          <w:p>
            <w:pPr>
              <w:spacing w:after="0" w:line="254" w:lineRule="auto"/>
            </w:pPr>
            <w:r>
              <w:rPr>
                <w:rFonts w:ascii="Arial" w:hAnsi="Arial" w:cs="Arial"/>
                <w:color w:val="000000"/>
                <w:sz w:val="17"/>
              </w:rPr>
              <w:t>A violação grave impede a classificação de desempenho elevado</w:t>
            </w:r>
          </w:p>
        </w:tc>
      </w:tr>
      <w:tr>
        <w:trPr>
          <w:cantSplit w:val="true"/>
        </w:trPr>
        <w:tc>
          <w:tcPr>
            <w:tcW w:type="dxa" w:w="2088"/>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Piso de Justiça</w:t>
            </w:r>
          </w:p>
        </w:tc>
        <w:tc>
          <w:tcPr>
            <w:tcW w:type="dxa" w:w="4752"/>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Ausência de discriminação sistemática, repressão, violência institucional, exclusão de direitos e negação de participação</w:t>
            </w:r>
          </w:p>
        </w:tc>
        <w:tc>
          <w:tcPr>
            <w:tcW w:type="dxa" w:w="3096"/>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O progresso agregado não compensa violações graves de direitos</w:t>
            </w:r>
          </w:p>
        </w:tc>
      </w:tr>
      <w:tr>
        <w:trPr>
          <w:cantSplit w:val="true"/>
        </w:trPr>
        <w:tc>
          <w:tcPr>
            <w:tcW w:type="dxa" w:w="2088"/>
            <w:vAlign w:val="center"/>
            <w:tcMar>
              <w:top w:w="100" w:type="dxa"/>
              <w:start w:w="120" w:type="dxa"/>
              <w:bottom w:w="100" w:type="dxa"/>
              <w:end w:w="120" w:type="dxa"/>
            </w:tcMar>
          </w:tcPr>
          <w:p>
            <w:pPr>
              <w:spacing w:after="0" w:line="254" w:lineRule="auto"/>
            </w:pPr>
            <w:r>
              <w:rPr>
                <w:rFonts w:ascii="Arial" w:hAnsi="Arial" w:cs="Arial"/>
                <w:b/>
                <w:color w:val="000000"/>
                <w:sz w:val="17"/>
              </w:rPr>
              <w:t>Teto Planetário</w:t>
            </w:r>
          </w:p>
        </w:tc>
        <w:tc>
          <w:tcPr>
            <w:tcW w:type="dxa" w:w="4752"/>
            <w:vAlign w:val="center"/>
            <w:tcMar>
              <w:top w:w="100" w:type="dxa"/>
              <w:start w:w="120" w:type="dxa"/>
              <w:bottom w:w="100" w:type="dxa"/>
              <w:end w:w="120" w:type="dxa"/>
            </w:tcMar>
          </w:tcPr>
          <w:p>
            <w:pPr>
              <w:spacing w:after="0" w:line="254" w:lineRule="auto"/>
            </w:pPr>
            <w:r>
              <w:rPr>
                <w:rFonts w:ascii="Arial" w:hAnsi="Arial" w:cs="Arial"/>
                <w:color w:val="000000"/>
                <w:sz w:val="17"/>
              </w:rPr>
              <w:t>Emissões, extração, poluição e perda ecológica dentro de limites cientificamente sustentáveis</w:t>
            </w:r>
          </w:p>
        </w:tc>
        <w:tc>
          <w:tcPr>
            <w:tcW w:type="dxa" w:w="3096"/>
            <w:vAlign w:val="center"/>
            <w:tcMar>
              <w:top w:w="100" w:type="dxa"/>
              <w:start w:w="120" w:type="dxa"/>
              <w:bottom w:w="100" w:type="dxa"/>
              <w:end w:w="120" w:type="dxa"/>
            </w:tcMar>
          </w:tcPr>
          <w:p>
            <w:pPr>
              <w:spacing w:after="0" w:line="254" w:lineRule="auto"/>
            </w:pPr>
            <w:r>
              <w:rPr>
                <w:rFonts w:ascii="Arial" w:hAnsi="Arial" w:cs="Arial"/>
                <w:color w:val="000000"/>
                <w:sz w:val="17"/>
              </w:rPr>
              <w:t>O dano ambiental crítico não pode ser compensado por benefícios económicos ou sociais</w:t>
            </w:r>
          </w:p>
        </w:tc>
      </w:tr>
      <w:tr>
        <w:trPr>
          <w:cantSplit w:val="true"/>
        </w:trPr>
        <w:tc>
          <w:tcPr>
            <w:tcW w:type="dxa" w:w="2088"/>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Porta de Integridade</w:t>
            </w:r>
          </w:p>
        </w:tc>
        <w:tc>
          <w:tcPr>
            <w:tcW w:type="dxa" w:w="4752"/>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Dados rastreáveis, metodologia identificada, conflitos declarados, participação e possibilidade de contestação</w:t>
            </w:r>
          </w:p>
        </w:tc>
        <w:tc>
          <w:tcPr>
            <w:tcW w:type="dxa" w:w="3096"/>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Sem evidência suficiente o resultado permanece não verificado</w:t>
            </w:r>
          </w:p>
        </w:tc>
      </w:tr>
    </w:tbl>
    <w:p>
      <w:pPr>
        <w:widowControl/>
        <w:spacing w:after="40"/>
      </w:pPr>
    </w:p>
    <w:p>
      <w:pPr>
        <w:pStyle w:val="Heading1"/>
        <w:keepNext/>
        <w:widowControl/>
      </w:pPr>
      <w:r>
        <w:t>4 Os seis pilares</w:t>
      </w:r>
    </w:p>
    <w:p>
      <w:pPr>
        <w:pStyle w:val="Heading2"/>
        <w:keepNext/>
        <w:widowControl/>
      </w:pPr>
      <w:r>
        <w:t>4.1 Justiça</w:t>
      </w:r>
    </w:p>
    <w:p>
      <w:pPr>
        <w:widowControl/>
        <w:spacing w:after="120" w:line="271" w:lineRule="auto"/>
      </w:pPr>
      <w:r>
        <w:rPr>
          <w:rFonts w:ascii="Arial" w:hAnsi="Arial" w:cs="Arial"/>
          <w:color w:val="000000"/>
          <w:sz w:val="21"/>
        </w:rPr>
        <w:t>Justiça mede se os direitos são efetivos, se as instituições atuam de forma imparcial e se as pessoas dispõem de proteção, voz e meios de reparação. Inclui justiça civil, política, social, racial, de género, migratória, territorial, digital, climática, intergeracional e reparatória.</w:t>
      </w:r>
    </w:p>
    <w:p>
      <w:pPr>
        <w:widowControl/>
        <w:spacing w:after="120" w:line="271" w:lineRule="auto"/>
      </w:pPr>
      <w:r>
        <w:rPr>
          <w:rFonts w:ascii="Arial" w:hAnsi="Arial" w:cs="Arial"/>
          <w:b/>
          <w:color w:val="000000"/>
          <w:sz w:val="21"/>
        </w:rPr>
        <w:t>Pergunta central</w:t>
      </w:r>
      <w:r>
        <w:rPr>
          <w:rFonts w:ascii="Arial" w:hAnsi="Arial" w:cs="Arial"/>
          <w:color w:val="000000"/>
          <w:sz w:val="21"/>
        </w:rPr>
        <w:t xml:space="preserve">  Os direitos são respeitados e existe responsabilização quando ocorre dano?</w:t>
      </w:r>
    </w:p>
    <w:p>
      <w:pPr>
        <w:widowControl/>
        <w:spacing w:after="120" w:line="271" w:lineRule="auto"/>
      </w:pPr>
      <w:r>
        <w:rPr>
          <w:rFonts w:ascii="Arial" w:hAnsi="Arial" w:cs="Arial"/>
          <w:color w:val="000000"/>
          <w:sz w:val="21"/>
        </w:rPr>
        <w:t>O pilar abrange:</w:t>
      </w:r>
    </w:p>
    <w:p>
      <w:pPr>
        <w:pStyle w:val="ListBullet"/>
        <w:widowControl/>
        <w:spacing w:after="64" w:line="271" w:lineRule="auto"/>
        <w:ind w:left="374" w:hanging="230"/>
      </w:pPr>
      <w:r>
        <w:rPr>
          <w:rFonts w:ascii="Arial" w:hAnsi="Arial" w:cs="Arial"/>
          <w:color w:val="000000"/>
          <w:sz w:val="21"/>
        </w:rPr>
        <w:t>Direitos humanos, igualdade perante a lei e acesso à justiça.</w:t>
      </w:r>
    </w:p>
    <w:p>
      <w:pPr>
        <w:pStyle w:val="ListBullet"/>
        <w:widowControl/>
        <w:spacing w:after="64" w:line="271" w:lineRule="auto"/>
        <w:ind w:left="374" w:hanging="230"/>
      </w:pPr>
      <w:r>
        <w:rPr>
          <w:rFonts w:ascii="Arial" w:hAnsi="Arial" w:cs="Arial"/>
          <w:color w:val="000000"/>
          <w:sz w:val="21"/>
        </w:rPr>
        <w:t>Segurança e proteção contra discriminação, violência e repressão.</w:t>
      </w:r>
    </w:p>
    <w:p>
      <w:pPr>
        <w:pStyle w:val="ListBullet"/>
        <w:widowControl/>
        <w:spacing w:after="64" w:line="271" w:lineRule="auto"/>
        <w:ind w:left="374" w:hanging="230"/>
      </w:pPr>
      <w:r>
        <w:rPr>
          <w:rFonts w:ascii="Arial" w:hAnsi="Arial" w:cs="Arial"/>
          <w:color w:val="000000"/>
          <w:sz w:val="21"/>
        </w:rPr>
        <w:t>Instituições democráticas, participação política e confiança pública.</w:t>
      </w:r>
    </w:p>
    <w:p>
      <w:pPr>
        <w:pStyle w:val="ListBullet"/>
        <w:widowControl/>
        <w:spacing w:after="64" w:line="271" w:lineRule="auto"/>
        <w:ind w:left="374" w:hanging="230"/>
      </w:pPr>
      <w:r>
        <w:rPr>
          <w:rFonts w:ascii="Arial" w:hAnsi="Arial" w:cs="Arial"/>
          <w:color w:val="000000"/>
          <w:sz w:val="21"/>
        </w:rPr>
        <w:t>Responsabilização por danos históricos, institucionais, ambientais e tecnológicos.</w:t>
      </w:r>
    </w:p>
    <w:p>
      <w:pPr>
        <w:pStyle w:val="ListBullet"/>
        <w:widowControl/>
        <w:spacing w:after="64" w:line="271" w:lineRule="auto"/>
        <w:ind w:left="374" w:hanging="230"/>
      </w:pPr>
      <w:r>
        <w:rPr>
          <w:rFonts w:ascii="Arial" w:hAnsi="Arial" w:cs="Arial"/>
          <w:color w:val="000000"/>
          <w:sz w:val="21"/>
        </w:rPr>
        <w:t>Mecanismos acessíveis de reclamação, investigação, resposta e reparação.</w:t>
      </w:r>
    </w:p>
    <w:p>
      <w:pPr>
        <w:widowControl/>
        <w:spacing w:after="120" w:line="271" w:lineRule="auto"/>
      </w:pPr>
      <w:r>
        <w:rPr>
          <w:rFonts w:ascii="Arial" w:hAnsi="Arial" w:cs="Arial"/>
          <w:color w:val="000000"/>
          <w:sz w:val="21"/>
        </w:rPr>
        <w:t>Uma entidade não pode apresentar-se como alinhada com este pilar quando os seus resultados dependem de exclusão, coerção, impunidade ou negação sistemática de direitos.</w:t>
      </w:r>
    </w:p>
    <w:p>
      <w:pPr>
        <w:pStyle w:val="Heading2"/>
        <w:keepNext/>
        <w:widowControl/>
      </w:pPr>
      <w:r>
        <w:t>4.2 Futurismo</w:t>
      </w:r>
    </w:p>
    <w:p>
      <w:pPr>
        <w:widowControl/>
        <w:spacing w:after="120" w:line="271" w:lineRule="auto"/>
      </w:pPr>
      <w:r>
        <w:rPr>
          <w:rFonts w:ascii="Arial" w:hAnsi="Arial" w:cs="Arial"/>
          <w:color w:val="000000"/>
          <w:sz w:val="21"/>
        </w:rPr>
        <w:t>Futurismo designa a capacidade coletiva de antecipar mudanças, deliberar sobre futuros possíveis e governar inovação e risco. Não significa determinismo tecnológico nem a adoção automática de novas tecnologias.</w:t>
      </w:r>
    </w:p>
    <w:p>
      <w:pPr>
        <w:widowControl/>
        <w:spacing w:after="120" w:line="271" w:lineRule="auto"/>
      </w:pPr>
      <w:r>
        <w:rPr>
          <w:rFonts w:ascii="Arial" w:hAnsi="Arial" w:cs="Arial"/>
          <w:b/>
          <w:color w:val="000000"/>
          <w:sz w:val="21"/>
        </w:rPr>
        <w:t>Pergunta central</w:t>
      </w:r>
      <w:r>
        <w:rPr>
          <w:rFonts w:ascii="Arial" w:hAnsi="Arial" w:cs="Arial"/>
          <w:color w:val="000000"/>
          <w:sz w:val="21"/>
        </w:rPr>
        <w:t xml:space="preserve">  As decisões presentes aumentam a capacidade das pessoas e instituições para escolher e proteger futuros dignos?</w:t>
      </w:r>
    </w:p>
    <w:p>
      <w:pPr>
        <w:widowControl/>
        <w:spacing w:after="120" w:line="271" w:lineRule="auto"/>
      </w:pPr>
      <w:r>
        <w:rPr>
          <w:rFonts w:ascii="Arial" w:hAnsi="Arial" w:cs="Arial"/>
          <w:color w:val="000000"/>
          <w:sz w:val="21"/>
        </w:rPr>
        <w:t>O pilar abrange:</w:t>
      </w:r>
    </w:p>
    <w:p>
      <w:pPr>
        <w:pStyle w:val="ListBullet"/>
        <w:widowControl/>
        <w:spacing w:after="64" w:line="271" w:lineRule="auto"/>
        <w:ind w:left="374" w:hanging="230"/>
      </w:pPr>
      <w:r>
        <w:rPr>
          <w:rFonts w:ascii="Arial" w:hAnsi="Arial" w:cs="Arial"/>
          <w:color w:val="000000"/>
          <w:sz w:val="21"/>
        </w:rPr>
        <w:t>Antecipação estratégica e análise de cenários.</w:t>
      </w:r>
    </w:p>
    <w:p>
      <w:pPr>
        <w:pStyle w:val="ListBullet"/>
        <w:widowControl/>
        <w:spacing w:after="64" w:line="271" w:lineRule="auto"/>
        <w:ind w:left="374" w:hanging="230"/>
      </w:pPr>
      <w:r>
        <w:rPr>
          <w:rFonts w:ascii="Arial" w:hAnsi="Arial" w:cs="Arial"/>
          <w:color w:val="000000"/>
          <w:sz w:val="21"/>
        </w:rPr>
        <w:t>Direitos e interesses das gerações futuras.</w:t>
      </w:r>
    </w:p>
    <w:p>
      <w:pPr>
        <w:pStyle w:val="ListBullet"/>
        <w:widowControl/>
        <w:spacing w:after="64" w:line="271" w:lineRule="auto"/>
        <w:ind w:left="374" w:hanging="230"/>
      </w:pPr>
      <w:r>
        <w:rPr>
          <w:rFonts w:ascii="Arial" w:hAnsi="Arial" w:cs="Arial"/>
          <w:color w:val="000000"/>
          <w:sz w:val="21"/>
        </w:rPr>
        <w:t>Educação e capacidades para transições tecnológicas e ecológicas.</w:t>
      </w:r>
    </w:p>
    <w:p>
      <w:pPr>
        <w:pStyle w:val="ListBullet"/>
        <w:widowControl/>
        <w:spacing w:after="64" w:line="271" w:lineRule="auto"/>
        <w:ind w:left="374" w:hanging="230"/>
      </w:pPr>
      <w:r>
        <w:rPr>
          <w:rFonts w:ascii="Arial" w:hAnsi="Arial" w:cs="Arial"/>
          <w:color w:val="000000"/>
          <w:sz w:val="21"/>
        </w:rPr>
        <w:t>Resiliência democrática, social, fiscal e infraestrutural.</w:t>
      </w:r>
    </w:p>
    <w:p>
      <w:pPr>
        <w:pStyle w:val="ListBullet"/>
        <w:widowControl/>
        <w:spacing w:after="64" w:line="271" w:lineRule="auto"/>
        <w:ind w:left="374" w:hanging="230"/>
      </w:pPr>
      <w:r>
        <w:rPr>
          <w:rFonts w:ascii="Arial" w:hAnsi="Arial" w:cs="Arial"/>
          <w:color w:val="000000"/>
          <w:sz w:val="21"/>
        </w:rPr>
        <w:t>Governação de inteligência artificial, biotecnologia e tecnologias emergentes.</w:t>
      </w:r>
    </w:p>
    <w:p>
      <w:pPr>
        <w:pStyle w:val="ListBullet"/>
        <w:widowControl/>
        <w:spacing w:after="64" w:line="271" w:lineRule="auto"/>
        <w:ind w:left="374" w:hanging="230"/>
      </w:pPr>
      <w:r>
        <w:rPr>
          <w:rFonts w:ascii="Arial" w:hAnsi="Arial" w:cs="Arial"/>
          <w:color w:val="000000"/>
          <w:sz w:val="21"/>
        </w:rPr>
        <w:t>Inovação de interesse público e distribuição justa dos seus benefícios.</w:t>
      </w:r>
    </w:p>
    <w:p>
      <w:pPr>
        <w:widowControl/>
        <w:spacing w:after="120" w:line="271" w:lineRule="auto"/>
      </w:pPr>
      <w:r>
        <w:rPr>
          <w:rFonts w:ascii="Arial" w:hAnsi="Arial" w:cs="Arial"/>
          <w:color w:val="000000"/>
          <w:sz w:val="21"/>
        </w:rPr>
        <w:t>Uma decisão de curto prazo não é considerada progresso quando enfraquece instituições, reduz perspetivas das gerações jovens ou transfere riscos previsíveis para o futuro.</w:t>
      </w:r>
    </w:p>
    <w:p>
      <w:pPr>
        <w:pStyle w:val="Heading2"/>
        <w:keepNext/>
        <w:widowControl/>
      </w:pPr>
      <w:r>
        <w:t>4.3 Cultura</w:t>
      </w:r>
    </w:p>
    <w:p>
      <w:pPr>
        <w:widowControl/>
        <w:spacing w:after="120" w:line="271" w:lineRule="auto"/>
      </w:pPr>
      <w:r>
        <w:rPr>
          <w:rFonts w:ascii="Arial" w:hAnsi="Arial" w:cs="Arial"/>
          <w:color w:val="000000"/>
          <w:sz w:val="21"/>
        </w:rPr>
        <w:t>Cultura mede reconhecimento, memória, expressão, representação, língua, património e pertença. Reconhece que a dignidade tem uma dimensão material e uma dimensão simbólica.</w:t>
      </w:r>
    </w:p>
    <w:p>
      <w:pPr>
        <w:widowControl/>
        <w:spacing w:after="120" w:line="271" w:lineRule="auto"/>
      </w:pPr>
      <w:r>
        <w:rPr>
          <w:rFonts w:ascii="Arial" w:hAnsi="Arial" w:cs="Arial"/>
          <w:b/>
          <w:color w:val="000000"/>
          <w:sz w:val="21"/>
        </w:rPr>
        <w:t>Pergunta central</w:t>
      </w:r>
      <w:r>
        <w:rPr>
          <w:rFonts w:ascii="Arial" w:hAnsi="Arial" w:cs="Arial"/>
          <w:color w:val="000000"/>
          <w:sz w:val="21"/>
        </w:rPr>
        <w:t xml:space="preserve">  Quem é reconhecido, representado, lembrado e autorizado a pertencer?</w:t>
      </w:r>
    </w:p>
    <w:p>
      <w:pPr>
        <w:widowControl/>
        <w:spacing w:after="120" w:line="271" w:lineRule="auto"/>
      </w:pPr>
      <w:r>
        <w:rPr>
          <w:rFonts w:ascii="Arial" w:hAnsi="Arial" w:cs="Arial"/>
          <w:color w:val="000000"/>
          <w:sz w:val="21"/>
        </w:rPr>
        <w:t>O pilar abrange:</w:t>
      </w:r>
    </w:p>
    <w:p>
      <w:pPr>
        <w:pStyle w:val="ListBullet"/>
        <w:widowControl/>
        <w:spacing w:after="64" w:line="271" w:lineRule="auto"/>
        <w:ind w:left="374" w:hanging="230"/>
      </w:pPr>
      <w:r>
        <w:rPr>
          <w:rFonts w:ascii="Arial" w:hAnsi="Arial" w:cs="Arial"/>
          <w:color w:val="000000"/>
          <w:sz w:val="21"/>
        </w:rPr>
        <w:t>Direitos culturais, liberdade artística e acesso à cultura.</w:t>
      </w:r>
    </w:p>
    <w:p>
      <w:pPr>
        <w:pStyle w:val="ListBullet"/>
        <w:widowControl/>
        <w:spacing w:after="64" w:line="271" w:lineRule="auto"/>
        <w:ind w:left="374" w:hanging="230"/>
      </w:pPr>
      <w:r>
        <w:rPr>
          <w:rFonts w:ascii="Arial" w:hAnsi="Arial" w:cs="Arial"/>
          <w:color w:val="000000"/>
          <w:sz w:val="21"/>
        </w:rPr>
        <w:t>Memória histórica, arquivos e currículos educativos.</w:t>
      </w:r>
    </w:p>
    <w:p>
      <w:pPr>
        <w:pStyle w:val="ListBullet"/>
        <w:widowControl/>
        <w:spacing w:after="64" w:line="271" w:lineRule="auto"/>
        <w:ind w:left="374" w:hanging="230"/>
      </w:pPr>
      <w:r>
        <w:rPr>
          <w:rFonts w:ascii="Arial" w:hAnsi="Arial" w:cs="Arial"/>
          <w:color w:val="000000"/>
          <w:sz w:val="21"/>
        </w:rPr>
        <w:t>Representação nos meios de comunicação e nas instituições.</w:t>
      </w:r>
    </w:p>
    <w:p>
      <w:pPr>
        <w:pStyle w:val="ListBullet"/>
        <w:widowControl/>
        <w:spacing w:after="64" w:line="271" w:lineRule="auto"/>
        <w:ind w:left="374" w:hanging="230"/>
      </w:pPr>
      <w:r>
        <w:rPr>
          <w:rFonts w:ascii="Arial" w:hAnsi="Arial" w:cs="Arial"/>
          <w:color w:val="000000"/>
          <w:sz w:val="21"/>
        </w:rPr>
        <w:t>Proteção de línguas, património e práticas culturais.</w:t>
      </w:r>
    </w:p>
    <w:p>
      <w:pPr>
        <w:pStyle w:val="ListBullet"/>
        <w:widowControl/>
        <w:spacing w:after="64" w:line="271" w:lineRule="auto"/>
        <w:ind w:left="374" w:hanging="230"/>
      </w:pPr>
      <w:r>
        <w:rPr>
          <w:rFonts w:ascii="Arial" w:hAnsi="Arial" w:cs="Arial"/>
          <w:color w:val="000000"/>
          <w:sz w:val="21"/>
        </w:rPr>
        <w:t>Conhecimentos indígenas, comunitários e outras epistemologias.</w:t>
      </w:r>
    </w:p>
    <w:p>
      <w:pPr>
        <w:pStyle w:val="ListBullet"/>
        <w:widowControl/>
        <w:spacing w:after="64" w:line="271" w:lineRule="auto"/>
        <w:ind w:left="374" w:hanging="230"/>
      </w:pPr>
      <w:r>
        <w:rPr>
          <w:rFonts w:ascii="Arial" w:hAnsi="Arial" w:cs="Arial"/>
          <w:color w:val="000000"/>
          <w:sz w:val="21"/>
        </w:rPr>
        <w:t>Propriedade, consentimento e benefício na utilização de narrativas e património.</w:t>
      </w:r>
    </w:p>
    <w:p>
      <w:pPr>
        <w:widowControl/>
        <w:spacing w:after="120" w:line="271" w:lineRule="auto"/>
      </w:pPr>
      <w:r>
        <w:rPr>
          <w:rFonts w:ascii="Arial" w:hAnsi="Arial" w:cs="Arial"/>
          <w:color w:val="000000"/>
          <w:sz w:val="21"/>
        </w:rPr>
        <w:t>Uma sociedade não pode ser considerada plenamente próspera quando algumas comunidades estão fisicamente presentes, mas são apagadas, humilhadas ou representadas sem voz e sem consentimento.</w:t>
      </w:r>
    </w:p>
    <w:p>
      <w:pPr>
        <w:pStyle w:val="Heading2"/>
        <w:keepNext/>
        <w:widowControl/>
      </w:pPr>
      <w:r>
        <w:t>4.4 Esperança</w:t>
      </w:r>
    </w:p>
    <w:p>
      <w:pPr>
        <w:widowControl/>
        <w:spacing w:after="120" w:line="271" w:lineRule="auto"/>
      </w:pPr>
      <w:r>
        <w:rPr>
          <w:rFonts w:ascii="Arial" w:hAnsi="Arial" w:cs="Arial"/>
          <w:color w:val="000000"/>
          <w:sz w:val="21"/>
        </w:rPr>
        <w:t>Esperança mede a capacidade individual e coletiva de imaginar, influenciar e construir um futuro melhor. É analisada através de três dimensões relacionadas: pertença, sentido e agência.</w:t>
      </w:r>
    </w:p>
    <w:p>
      <w:pPr>
        <w:widowControl/>
        <w:spacing w:after="120" w:line="271" w:lineRule="auto"/>
      </w:pPr>
      <w:r>
        <w:rPr>
          <w:rFonts w:ascii="Arial" w:hAnsi="Arial" w:cs="Arial"/>
          <w:b/>
          <w:color w:val="000000"/>
          <w:sz w:val="21"/>
        </w:rPr>
        <w:t>Pergunta central</w:t>
      </w:r>
      <w:r>
        <w:rPr>
          <w:rFonts w:ascii="Arial" w:hAnsi="Arial" w:cs="Arial"/>
          <w:color w:val="000000"/>
          <w:sz w:val="21"/>
        </w:rPr>
        <w:t xml:space="preserve">  As pessoas sentem que pertencem, encontram sentido e dispõem de meios reais para influenciar o futuro?</w:t>
      </w:r>
    </w:p>
    <w:p>
      <w:pPr>
        <w:widowControl/>
        <w:spacing w:after="120" w:line="271" w:lineRule="auto"/>
      </w:pPr>
      <w:r>
        <w:rPr>
          <w:rFonts w:ascii="Arial" w:hAnsi="Arial" w:cs="Arial"/>
          <w:color w:val="000000"/>
          <w:sz w:val="21"/>
        </w:rPr>
        <w:t>O pilar abrange:</w:t>
      </w:r>
    </w:p>
    <w:p>
      <w:pPr>
        <w:pStyle w:val="ListBullet"/>
        <w:widowControl/>
        <w:spacing w:after="64" w:line="271" w:lineRule="auto"/>
        <w:ind w:left="374" w:hanging="230"/>
      </w:pPr>
      <w:r>
        <w:rPr>
          <w:rFonts w:ascii="Arial" w:hAnsi="Arial" w:cs="Arial"/>
          <w:color w:val="000000"/>
          <w:sz w:val="21"/>
        </w:rPr>
        <w:t>Pertença social e ausência de isolamento.</w:t>
      </w:r>
    </w:p>
    <w:p>
      <w:pPr>
        <w:pStyle w:val="ListBullet"/>
        <w:widowControl/>
        <w:spacing w:after="64" w:line="271" w:lineRule="auto"/>
        <w:ind w:left="374" w:hanging="230"/>
      </w:pPr>
      <w:r>
        <w:rPr>
          <w:rFonts w:ascii="Arial" w:hAnsi="Arial" w:cs="Arial"/>
          <w:color w:val="000000"/>
          <w:sz w:val="21"/>
        </w:rPr>
        <w:t>Sentido, propósito e reconhecimento do contributo de cada pessoa.</w:t>
      </w:r>
    </w:p>
    <w:p>
      <w:pPr>
        <w:pStyle w:val="ListBullet"/>
        <w:widowControl/>
        <w:spacing w:after="64" w:line="271" w:lineRule="auto"/>
        <w:ind w:left="374" w:hanging="230"/>
      </w:pPr>
      <w:r>
        <w:rPr>
          <w:rFonts w:ascii="Arial" w:hAnsi="Arial" w:cs="Arial"/>
          <w:color w:val="000000"/>
          <w:sz w:val="21"/>
        </w:rPr>
        <w:t>Agência cívica e capacidade de influenciar decisões.</w:t>
      </w:r>
    </w:p>
    <w:p>
      <w:pPr>
        <w:pStyle w:val="ListBullet"/>
        <w:widowControl/>
        <w:spacing w:after="64" w:line="271" w:lineRule="auto"/>
        <w:ind w:left="374" w:hanging="230"/>
      </w:pPr>
      <w:r>
        <w:rPr>
          <w:rFonts w:ascii="Arial" w:hAnsi="Arial" w:cs="Arial"/>
          <w:color w:val="000000"/>
          <w:sz w:val="21"/>
        </w:rPr>
        <w:t>Confiança interpessoal e confiança justificada nas instituições.</w:t>
      </w:r>
    </w:p>
    <w:p>
      <w:pPr>
        <w:pStyle w:val="ListBullet"/>
        <w:widowControl/>
        <w:spacing w:after="64" w:line="271" w:lineRule="auto"/>
        <w:ind w:left="374" w:hanging="230"/>
      </w:pPr>
      <w:r>
        <w:rPr>
          <w:rFonts w:ascii="Arial" w:hAnsi="Arial" w:cs="Arial"/>
          <w:color w:val="000000"/>
          <w:sz w:val="21"/>
        </w:rPr>
        <w:t>Saúde mental coletiva e proteção contra condições que produzem desespero.</w:t>
      </w:r>
    </w:p>
    <w:p>
      <w:pPr>
        <w:pStyle w:val="ListBullet"/>
        <w:widowControl/>
        <w:spacing w:after="64" w:line="271" w:lineRule="auto"/>
        <w:ind w:left="374" w:hanging="230"/>
      </w:pPr>
      <w:r>
        <w:rPr>
          <w:rFonts w:ascii="Arial" w:hAnsi="Arial" w:cs="Arial"/>
          <w:color w:val="000000"/>
          <w:sz w:val="21"/>
        </w:rPr>
        <w:t>Capacidade comunitária para organizar, cuidar, criar e responder a crises.</w:t>
      </w:r>
    </w:p>
    <w:p>
      <w:pPr>
        <w:widowControl/>
        <w:spacing w:after="120" w:line="271" w:lineRule="auto"/>
      </w:pPr>
      <w:r>
        <w:rPr>
          <w:rFonts w:ascii="Arial" w:hAnsi="Arial" w:cs="Arial"/>
          <w:color w:val="000000"/>
          <w:sz w:val="21"/>
        </w:rPr>
        <w:t>Os instrumentos de Esperança e Agência devem ser testados cientificamente, adaptados ao contexto cultural e combinados com indicadores objetivos. Nenhuma escala subjetiva pode, por si só, provar a qualidade de uma instituição.</w:t>
      </w:r>
    </w:p>
    <w:p>
      <w:pPr>
        <w:pStyle w:val="Heading2"/>
        <w:keepNext/>
        <w:widowControl/>
      </w:pPr>
      <w:r>
        <w:t>4.5 Justiça Económica</w:t>
      </w:r>
    </w:p>
    <w:p>
      <w:pPr>
        <w:widowControl/>
        <w:spacing w:after="120" w:line="271" w:lineRule="auto"/>
      </w:pPr>
      <w:r>
        <w:rPr>
          <w:rFonts w:ascii="Arial" w:hAnsi="Arial" w:cs="Arial"/>
          <w:color w:val="000000"/>
          <w:sz w:val="21"/>
        </w:rPr>
        <w:t>Justiça Económica mede a distribuição de rendimento, riqueza, propriedade, trabalho, oportunidades e poder económico. Avalia resultados e os mecanismos que os produzem.</w:t>
      </w:r>
    </w:p>
    <w:p>
      <w:pPr>
        <w:widowControl/>
        <w:spacing w:after="120" w:line="271" w:lineRule="auto"/>
      </w:pPr>
      <w:r>
        <w:rPr>
          <w:rFonts w:ascii="Arial" w:hAnsi="Arial" w:cs="Arial"/>
          <w:b/>
          <w:color w:val="000000"/>
          <w:sz w:val="21"/>
        </w:rPr>
        <w:t>Pergunta central</w:t>
      </w:r>
      <w:r>
        <w:rPr>
          <w:rFonts w:ascii="Arial" w:hAnsi="Arial" w:cs="Arial"/>
          <w:color w:val="000000"/>
          <w:sz w:val="21"/>
        </w:rPr>
        <w:t xml:space="preserve">  Os recursos e o poder económico são distribuídos de forma justa e permitem uma vida digna?</w:t>
      </w:r>
    </w:p>
    <w:p>
      <w:pPr>
        <w:widowControl/>
        <w:spacing w:after="120" w:line="271" w:lineRule="auto"/>
      </w:pPr>
      <w:r>
        <w:rPr>
          <w:rFonts w:ascii="Arial" w:hAnsi="Arial" w:cs="Arial"/>
          <w:color w:val="000000"/>
          <w:sz w:val="21"/>
        </w:rPr>
        <w:t>O pilar abrange:</w:t>
      </w:r>
    </w:p>
    <w:p>
      <w:pPr>
        <w:pStyle w:val="ListBullet"/>
        <w:widowControl/>
        <w:spacing w:after="64" w:line="271" w:lineRule="auto"/>
        <w:ind w:left="374" w:hanging="230"/>
      </w:pPr>
      <w:r>
        <w:rPr>
          <w:rFonts w:ascii="Arial" w:hAnsi="Arial" w:cs="Arial"/>
          <w:color w:val="000000"/>
          <w:sz w:val="21"/>
        </w:rPr>
        <w:t>Trabalho digno, remuneração justa e direitos laborais.</w:t>
      </w:r>
    </w:p>
    <w:p>
      <w:pPr>
        <w:pStyle w:val="ListBullet"/>
        <w:widowControl/>
        <w:spacing w:after="64" w:line="271" w:lineRule="auto"/>
        <w:ind w:left="374" w:hanging="230"/>
      </w:pPr>
      <w:r>
        <w:rPr>
          <w:rFonts w:ascii="Arial" w:hAnsi="Arial" w:cs="Arial"/>
          <w:color w:val="000000"/>
          <w:sz w:val="21"/>
        </w:rPr>
        <w:t>Rendimento, património, propriedade e acesso a capital.</w:t>
      </w:r>
    </w:p>
    <w:p>
      <w:pPr>
        <w:pStyle w:val="ListBullet"/>
        <w:widowControl/>
        <w:spacing w:after="64" w:line="271" w:lineRule="auto"/>
        <w:ind w:left="374" w:hanging="230"/>
      </w:pPr>
      <w:r>
        <w:rPr>
          <w:rFonts w:ascii="Arial" w:hAnsi="Arial" w:cs="Arial"/>
          <w:color w:val="000000"/>
          <w:sz w:val="21"/>
        </w:rPr>
        <w:t>Fiscalidade, despesa pública e proteção social.</w:t>
      </w:r>
    </w:p>
    <w:p>
      <w:pPr>
        <w:pStyle w:val="ListBullet"/>
        <w:widowControl/>
        <w:spacing w:after="64" w:line="271" w:lineRule="auto"/>
        <w:ind w:left="374" w:hanging="230"/>
      </w:pPr>
      <w:r>
        <w:rPr>
          <w:rFonts w:ascii="Arial" w:hAnsi="Arial" w:cs="Arial"/>
          <w:color w:val="000000"/>
          <w:sz w:val="21"/>
        </w:rPr>
        <w:t>Acesso equitativo a habitação, educação, saúde e serviços essenciais.</w:t>
      </w:r>
    </w:p>
    <w:p>
      <w:pPr>
        <w:pStyle w:val="ListBullet"/>
        <w:widowControl/>
        <w:spacing w:after="64" w:line="271" w:lineRule="auto"/>
        <w:ind w:left="374" w:hanging="230"/>
      </w:pPr>
      <w:r>
        <w:rPr>
          <w:rFonts w:ascii="Arial" w:hAnsi="Arial" w:cs="Arial"/>
          <w:color w:val="000000"/>
          <w:sz w:val="21"/>
        </w:rPr>
        <w:t>Concentração económica, poder de mercado e influência sobre decisões públicas.</w:t>
      </w:r>
    </w:p>
    <w:p>
      <w:pPr>
        <w:pStyle w:val="ListBullet"/>
        <w:widowControl/>
        <w:spacing w:after="64" w:line="271" w:lineRule="auto"/>
        <w:ind w:left="374" w:hanging="230"/>
      </w:pPr>
      <w:r>
        <w:rPr>
          <w:rFonts w:ascii="Arial" w:hAnsi="Arial" w:cs="Arial"/>
          <w:color w:val="000000"/>
          <w:sz w:val="21"/>
        </w:rPr>
        <w:t>Financiamento sustentável, investimento reparatório e justiça entre territórios.</w:t>
      </w:r>
    </w:p>
    <w:p>
      <w:pPr>
        <w:widowControl/>
        <w:spacing w:after="120" w:line="271" w:lineRule="auto"/>
      </w:pPr>
      <w:r>
        <w:rPr>
          <w:rFonts w:ascii="Arial" w:hAnsi="Arial" w:cs="Arial"/>
          <w:color w:val="000000"/>
          <w:sz w:val="21"/>
        </w:rPr>
        <w:t>O crescimento económico não é classificado como progresso quando concentra riqueza, socializa custos, depende de exploração ou reduz a capacidade de as pessoas satisfazerem necessidades básicas.</w:t>
      </w:r>
    </w:p>
    <w:p>
      <w:pPr>
        <w:pStyle w:val="Heading2"/>
        <w:keepNext/>
        <w:widowControl/>
      </w:pPr>
      <w:r>
        <w:t>4.6 Bem-estar</w:t>
      </w:r>
    </w:p>
    <w:p>
      <w:pPr>
        <w:widowControl/>
        <w:spacing w:after="120" w:line="271" w:lineRule="auto"/>
      </w:pPr>
      <w:r>
        <w:rPr>
          <w:rFonts w:ascii="Arial" w:hAnsi="Arial" w:cs="Arial"/>
          <w:color w:val="000000"/>
          <w:sz w:val="21"/>
        </w:rPr>
        <w:t>Bem-estar mede as condições materiais, físicas, mentais e sociais necessárias para uma vida digna. Combina resultados objetivos com a experiência das pessoas, sem reduzir uma dimensão à outra.</w:t>
      </w:r>
    </w:p>
    <w:p>
      <w:pPr>
        <w:widowControl/>
        <w:spacing w:after="120" w:line="271" w:lineRule="auto"/>
      </w:pPr>
      <w:r>
        <w:rPr>
          <w:rFonts w:ascii="Arial" w:hAnsi="Arial" w:cs="Arial"/>
          <w:b/>
          <w:color w:val="000000"/>
          <w:sz w:val="21"/>
        </w:rPr>
        <w:t>Pergunta central</w:t>
      </w:r>
      <w:r>
        <w:rPr>
          <w:rFonts w:ascii="Arial" w:hAnsi="Arial" w:cs="Arial"/>
          <w:color w:val="000000"/>
          <w:sz w:val="21"/>
        </w:rPr>
        <w:t xml:space="preserve">  As pessoas dispõem das condições necessárias para viver com saúde, segurança, relações, tempo e qualidade de vida?</w:t>
      </w:r>
    </w:p>
    <w:p>
      <w:pPr>
        <w:widowControl/>
        <w:spacing w:after="120" w:line="271" w:lineRule="auto"/>
      </w:pPr>
      <w:r>
        <w:rPr>
          <w:rFonts w:ascii="Arial" w:hAnsi="Arial" w:cs="Arial"/>
          <w:color w:val="000000"/>
          <w:sz w:val="21"/>
        </w:rPr>
        <w:t>O pilar abrange:</w:t>
      </w:r>
    </w:p>
    <w:p>
      <w:pPr>
        <w:pStyle w:val="ListBullet"/>
        <w:widowControl/>
        <w:spacing w:after="64" w:line="271" w:lineRule="auto"/>
        <w:ind w:left="374" w:hanging="230"/>
      </w:pPr>
      <w:r>
        <w:rPr>
          <w:rFonts w:ascii="Arial" w:hAnsi="Arial" w:cs="Arial"/>
          <w:color w:val="000000"/>
          <w:sz w:val="21"/>
        </w:rPr>
        <w:t>Saúde física e mental.</w:t>
      </w:r>
    </w:p>
    <w:p>
      <w:pPr>
        <w:pStyle w:val="ListBullet"/>
        <w:widowControl/>
        <w:spacing w:after="64" w:line="271" w:lineRule="auto"/>
        <w:ind w:left="374" w:hanging="230"/>
      </w:pPr>
      <w:r>
        <w:rPr>
          <w:rFonts w:ascii="Arial" w:hAnsi="Arial" w:cs="Arial"/>
          <w:color w:val="000000"/>
          <w:sz w:val="21"/>
        </w:rPr>
        <w:t>Alimentação, água, habitação, energia e saneamento.</w:t>
      </w:r>
    </w:p>
    <w:p>
      <w:pPr>
        <w:pStyle w:val="ListBullet"/>
        <w:widowControl/>
        <w:spacing w:after="64" w:line="271" w:lineRule="auto"/>
        <w:ind w:left="374" w:hanging="230"/>
      </w:pPr>
      <w:r>
        <w:rPr>
          <w:rFonts w:ascii="Arial" w:hAnsi="Arial" w:cs="Arial"/>
          <w:color w:val="000000"/>
          <w:sz w:val="21"/>
        </w:rPr>
        <w:t>Segurança pessoal e proteção contra violência.</w:t>
      </w:r>
    </w:p>
    <w:p>
      <w:pPr>
        <w:pStyle w:val="ListBullet"/>
        <w:widowControl/>
        <w:spacing w:after="64" w:line="271" w:lineRule="auto"/>
        <w:ind w:left="374" w:hanging="230"/>
      </w:pPr>
      <w:r>
        <w:rPr>
          <w:rFonts w:ascii="Arial" w:hAnsi="Arial" w:cs="Arial"/>
          <w:color w:val="000000"/>
          <w:sz w:val="21"/>
        </w:rPr>
        <w:t>Cuidados, apoio social e vida independente.</w:t>
      </w:r>
    </w:p>
    <w:p>
      <w:pPr>
        <w:pStyle w:val="ListBullet"/>
        <w:widowControl/>
        <w:spacing w:after="64" w:line="271" w:lineRule="auto"/>
        <w:ind w:left="374" w:hanging="230"/>
      </w:pPr>
      <w:r>
        <w:rPr>
          <w:rFonts w:ascii="Arial" w:hAnsi="Arial" w:cs="Arial"/>
          <w:color w:val="000000"/>
          <w:sz w:val="21"/>
        </w:rPr>
        <w:t>Qualidade do trabalho, tempo disponível e conciliação da vida.</w:t>
      </w:r>
    </w:p>
    <w:p>
      <w:pPr>
        <w:pStyle w:val="ListBullet"/>
        <w:widowControl/>
        <w:spacing w:after="64" w:line="271" w:lineRule="auto"/>
        <w:ind w:left="374" w:hanging="230"/>
      </w:pPr>
      <w:r>
        <w:rPr>
          <w:rFonts w:ascii="Arial" w:hAnsi="Arial" w:cs="Arial"/>
          <w:color w:val="000000"/>
          <w:sz w:val="21"/>
        </w:rPr>
        <w:t>Relações, solidão, confiança, pertença e satisfação com a vida.</w:t>
      </w:r>
    </w:p>
    <w:p>
      <w:pPr>
        <w:widowControl/>
        <w:spacing w:after="120" w:line="271" w:lineRule="auto"/>
      </w:pPr>
      <w:r>
        <w:rPr>
          <w:rFonts w:ascii="Arial" w:hAnsi="Arial" w:cs="Arial"/>
          <w:color w:val="000000"/>
          <w:sz w:val="21"/>
        </w:rPr>
        <w:t>Uma melhoria média não é suficiente quando o acesso permanece inseguro, discriminatório, inacessível ou sujeito a custos que empobrecem famílias e comunidades.</w:t>
      </w:r>
    </w:p>
    <w:p>
      <w:pPr>
        <w:pStyle w:val="Heading1"/>
        <w:keepNext/>
        <w:widowControl/>
      </w:pPr>
      <w:r>
        <w:t>5 Garantias transversais</w:t>
      </w:r>
    </w:p>
    <w:p>
      <w:pPr>
        <w:pStyle w:val="Heading2"/>
        <w:keepNext/>
        <w:widowControl/>
      </w:pPr>
      <w:r>
        <w:t>5.1 Inclusão e Equidade</w:t>
      </w:r>
    </w:p>
    <w:p>
      <w:pPr>
        <w:widowControl/>
        <w:spacing w:after="120" w:line="271" w:lineRule="auto"/>
      </w:pPr>
      <w:r>
        <w:rPr>
          <w:rFonts w:ascii="Arial" w:hAnsi="Arial" w:cs="Arial"/>
          <w:color w:val="000000"/>
          <w:sz w:val="21"/>
        </w:rPr>
        <w:t>A inclusão não constitui um pilar isolado. É um teste aplicado a todos os pilares para determinar como os resultados se distribuem e que pessoas permanecem ausentes das decisões ou das estatísticas.</w:t>
      </w:r>
    </w:p>
    <w:p>
      <w:pPr>
        <w:widowControl/>
        <w:spacing w:after="120" w:line="271" w:lineRule="auto"/>
      </w:pPr>
      <w:r>
        <w:rPr>
          <w:rFonts w:ascii="Arial" w:hAnsi="Arial" w:cs="Arial"/>
          <w:color w:val="000000"/>
          <w:sz w:val="21"/>
        </w:rPr>
        <w:t>Sempre que seja legal, seguro, ético e metodologicamente responsável, a evidência deve ser desagregada por sexo, género, idade, deficiência, origem racial ou étnica, identidade indígena, estatuto migratório, refúgio ou apatridia, rendimento, condição socioeconómica, território, orientação sexual, identidade de género e interseções relevantes.</w:t>
      </w:r>
    </w:p>
    <w:p>
      <w:pPr>
        <w:widowControl/>
        <w:spacing w:after="120" w:line="271" w:lineRule="auto"/>
      </w:pPr>
      <w:r>
        <w:rPr>
          <w:rFonts w:ascii="Arial" w:hAnsi="Arial" w:cs="Arial"/>
          <w:color w:val="000000"/>
          <w:sz w:val="21"/>
        </w:rPr>
        <w:t>O Humanity Index e o Dashboard devem mostrar, pelo menos, o resultado médio, os resultados dos diferentes grupos, a distância entre grupos, a evolução dessa distância, a cobertura e qualidade dos dados e os grupos que não aparecem nas estatísticas. A invisibilidade estatística é registada como risco de exclusão, e não tratada como ausência de problema.</w:t>
      </w:r>
    </w:p>
    <w:p>
      <w:pPr>
        <w:pStyle w:val="Heading2"/>
        <w:keepNext/>
        <w:widowControl/>
      </w:pPr>
      <w:r>
        <w:t>5.2 Equilíbrio Planetário</w:t>
      </w:r>
    </w:p>
    <w:p>
      <w:pPr>
        <w:widowControl/>
        <w:spacing w:after="120" w:line="271" w:lineRule="auto"/>
      </w:pPr>
      <w:r>
        <w:rPr>
          <w:rFonts w:ascii="Arial" w:hAnsi="Arial" w:cs="Arial"/>
          <w:color w:val="000000"/>
          <w:sz w:val="21"/>
        </w:rPr>
        <w:t>O progresso humano depende de sistemas ecológicos funcionais. Cada política ou investimento deve identificar emissões, uso de materiais, água, solo, biodiversidade, poluição, vulnerabilidade climática, adaptação e distribuição social dos custos e benefícios da transição.</w:t>
      </w:r>
    </w:p>
    <w:p>
      <w:pPr>
        <w:widowControl/>
        <w:spacing w:after="120" w:line="271" w:lineRule="auto"/>
      </w:pPr>
      <w:r>
        <w:rPr>
          <w:rFonts w:ascii="Arial" w:hAnsi="Arial" w:cs="Arial"/>
          <w:color w:val="000000"/>
          <w:sz w:val="21"/>
        </w:rPr>
        <w:t>Uma entidade não pode compensar um dano ambiental crítico com resultados favoráveis noutro pilar. A avaliação deve considerar impactos territoriais, cadeias de valor, efeitos transfronteiriços e riscos transferidos para comunidades vulneráveis ou gerações futuras.</w:t>
      </w:r>
    </w:p>
    <w:p>
      <w:pPr>
        <w:pStyle w:val="Heading2"/>
        <w:keepNext/>
        <w:widowControl/>
      </w:pPr>
      <w:r>
        <w:t>5.3 Transparência Responsabilização e Participação</w:t>
      </w:r>
    </w:p>
    <w:p>
      <w:pPr>
        <w:widowControl/>
        <w:spacing w:after="120" w:line="271" w:lineRule="auto"/>
      </w:pPr>
      <w:r>
        <w:rPr>
          <w:rFonts w:ascii="Arial" w:hAnsi="Arial" w:cs="Arial"/>
          <w:color w:val="000000"/>
          <w:sz w:val="21"/>
        </w:rPr>
        <w:t>A transparência é uma obrigação substantiva do Humanity Pact e uma dimensão mensurável do Humanity Index. Aplica-se ao próprio sistema e às entidades avaliadas.</w:t>
      </w:r>
    </w:p>
    <w:p>
      <w:pPr>
        <w:widowControl/>
        <w:spacing w:after="120" w:line="271" w:lineRule="auto"/>
      </w:pPr>
      <w:r>
        <w:rPr>
          <w:rFonts w:ascii="Arial" w:hAnsi="Arial" w:cs="Arial"/>
          <w:color w:val="000000"/>
          <w:sz w:val="21"/>
        </w:rPr>
        <w:t>O Pact exige:</w:t>
      </w:r>
    </w:p>
    <w:p>
      <w:pPr>
        <w:pStyle w:val="ListBullet"/>
        <w:widowControl/>
        <w:spacing w:after="64" w:line="271" w:lineRule="auto"/>
        <w:ind w:left="374" w:hanging="230"/>
      </w:pPr>
      <w:r>
        <w:rPr>
          <w:rFonts w:ascii="Arial" w:hAnsi="Arial" w:cs="Arial"/>
          <w:color w:val="000000"/>
          <w:sz w:val="21"/>
        </w:rPr>
        <w:t>Publicação do âmbito, linha de base, metas, prazos, recursos e responsáveis.</w:t>
      </w:r>
    </w:p>
    <w:p>
      <w:pPr>
        <w:pStyle w:val="ListBullet"/>
        <w:widowControl/>
        <w:spacing w:after="64" w:line="271" w:lineRule="auto"/>
        <w:ind w:left="374" w:hanging="230"/>
      </w:pPr>
      <w:r>
        <w:rPr>
          <w:rFonts w:ascii="Arial" w:hAnsi="Arial" w:cs="Arial"/>
          <w:color w:val="000000"/>
          <w:sz w:val="21"/>
        </w:rPr>
        <w:t>Rastreabilidade das fontes, métodos, versões, alterações e limitações.</w:t>
      </w:r>
    </w:p>
    <w:p>
      <w:pPr>
        <w:pStyle w:val="ListBullet"/>
        <w:widowControl/>
        <w:spacing w:after="64" w:line="271" w:lineRule="auto"/>
        <w:ind w:left="374" w:hanging="230"/>
      </w:pPr>
      <w:r>
        <w:rPr>
          <w:rFonts w:ascii="Arial" w:hAnsi="Arial" w:cs="Arial"/>
          <w:color w:val="000000"/>
          <w:sz w:val="21"/>
        </w:rPr>
        <w:t>Divulgação de financiadores, interesses relevantes e conflitos de interesses.</w:t>
      </w:r>
    </w:p>
    <w:p>
      <w:pPr>
        <w:pStyle w:val="ListBullet"/>
        <w:widowControl/>
        <w:spacing w:after="64" w:line="271" w:lineRule="auto"/>
        <w:ind w:left="374" w:hanging="230"/>
      </w:pPr>
      <w:r>
        <w:rPr>
          <w:rFonts w:ascii="Arial" w:hAnsi="Arial" w:cs="Arial"/>
          <w:color w:val="000000"/>
          <w:sz w:val="21"/>
        </w:rPr>
        <w:t>Separação clara entre informação declarada, documentada, revista e verificada.</w:t>
      </w:r>
    </w:p>
    <w:p>
      <w:pPr>
        <w:pStyle w:val="ListBullet"/>
        <w:widowControl/>
        <w:spacing w:after="64" w:line="271" w:lineRule="auto"/>
        <w:ind w:left="374" w:hanging="230"/>
      </w:pPr>
      <w:r>
        <w:rPr>
          <w:rFonts w:ascii="Arial" w:hAnsi="Arial" w:cs="Arial"/>
          <w:color w:val="000000"/>
          <w:sz w:val="21"/>
        </w:rPr>
        <w:t>Participação significativa das pessoas e comunidades afetadas.</w:t>
      </w:r>
    </w:p>
    <w:p>
      <w:pPr>
        <w:pStyle w:val="ListBullet"/>
        <w:widowControl/>
        <w:spacing w:after="64" w:line="271" w:lineRule="auto"/>
        <w:ind w:left="374" w:hanging="230"/>
      </w:pPr>
      <w:r>
        <w:rPr>
          <w:rFonts w:ascii="Arial" w:hAnsi="Arial" w:cs="Arial"/>
          <w:color w:val="000000"/>
          <w:sz w:val="21"/>
        </w:rPr>
        <w:t>Explicação de decisões automatizadas ou apoiadas por inteligência artificial.</w:t>
      </w:r>
    </w:p>
    <w:p>
      <w:pPr>
        <w:pStyle w:val="ListBullet"/>
        <w:widowControl/>
        <w:spacing w:after="64" w:line="271" w:lineRule="auto"/>
        <w:ind w:left="374" w:hanging="230"/>
      </w:pPr>
      <w:r>
        <w:rPr>
          <w:rFonts w:ascii="Arial" w:hAnsi="Arial" w:cs="Arial"/>
          <w:color w:val="000000"/>
          <w:sz w:val="21"/>
        </w:rPr>
        <w:t>Mecanismos acessíveis para contestação, resposta, correção e reparação.</w:t>
      </w:r>
    </w:p>
    <w:p>
      <w:pPr>
        <w:pStyle w:val="ListBullet"/>
        <w:widowControl/>
        <w:spacing w:after="64" w:line="271" w:lineRule="auto"/>
        <w:ind w:left="374" w:hanging="230"/>
      </w:pPr>
      <w:r>
        <w:rPr>
          <w:rFonts w:ascii="Arial" w:hAnsi="Arial" w:cs="Arial"/>
          <w:color w:val="000000"/>
          <w:sz w:val="21"/>
        </w:rPr>
        <w:t>Publicação de resultados desfavoráveis e de medidas corretivas.</w:t>
      </w:r>
    </w:p>
    <w:p>
      <w:pPr>
        <w:widowControl/>
        <w:spacing w:after="120" w:line="271" w:lineRule="auto"/>
      </w:pPr>
      <w:r>
        <w:rPr>
          <w:rFonts w:ascii="Arial" w:hAnsi="Arial" w:cs="Arial"/>
          <w:color w:val="000000"/>
          <w:sz w:val="21"/>
        </w:rPr>
        <w:t>Transparência não significa publicar dados pessoais, conhecimentos protegidos ou informação cuja divulgação crie risco. Nesses casos, a entidade deve publicar metadados, critérios, salvaguardas e uma justificação verificável para a restrição.</w:t>
      </w:r>
    </w:p>
    <w:p>
      <w:pPr>
        <w:pStyle w:val="Heading1"/>
        <w:keepNext/>
        <w:widowControl/>
      </w:pPr>
      <w:r>
        <w:t>6 Titulares de direitos e contextos de exclusão</w:t>
      </w:r>
    </w:p>
    <w:p>
      <w:pPr>
        <w:widowControl/>
        <w:spacing w:after="120" w:line="271" w:lineRule="auto"/>
      </w:pPr>
      <w:r>
        <w:rPr>
          <w:rFonts w:ascii="Arial" w:hAnsi="Arial" w:cs="Arial"/>
          <w:color w:val="000000"/>
          <w:sz w:val="21"/>
        </w:rPr>
        <w:t>O Humanity Pact aplica uma abordagem universal aos direitos e uma abordagem específica às barreiras. Os grupos abaixo não constituem uma lista fechada. A seleção de módulos e indicadores depende do contexto e deve ser realizada com participação das pessoas diretamente afetadas.</w:t>
      </w:r>
    </w:p>
    <w:p>
      <w:pPr>
        <w:pStyle w:val="Heading2"/>
        <w:keepNext/>
        <w:widowControl/>
      </w:pPr>
      <w:r>
        <w:t>6.1 Pessoas com deficiência</w:t>
      </w:r>
    </w:p>
    <w:p>
      <w:pPr>
        <w:widowControl/>
        <w:spacing w:after="120" w:line="271" w:lineRule="auto"/>
      </w:pPr>
      <w:r>
        <w:rPr>
          <w:rFonts w:ascii="Arial" w:hAnsi="Arial" w:cs="Arial"/>
          <w:color w:val="000000"/>
          <w:sz w:val="21"/>
        </w:rPr>
        <w:t>A deficiência é analisada segundo os direitos humanos e as barreiras criadas pela sociedade, e não apenas através de diagnósticos médicos. A aplicação do Pact deve avaliar acessibilidade física, digital, comunicacional e dos transportes, adaptações razoáveis, tecnologias de apoio, vida independente, cuidados e assistência pessoal, emprego, rendimento, educação, saúde, segurança e participação política. As próprias pessoas com deficiência devem participar na definição dos indicadores, decisões e mecanismos de reclamação.</w:t>
      </w:r>
    </w:p>
    <w:p>
      <w:pPr>
        <w:pStyle w:val="Heading2"/>
        <w:keepNext/>
        <w:widowControl/>
      </w:pPr>
      <w:r>
        <w:t>6.2 Povos indígenas</w:t>
      </w:r>
    </w:p>
    <w:p>
      <w:pPr>
        <w:widowControl/>
        <w:spacing w:after="120" w:line="271" w:lineRule="auto"/>
      </w:pPr>
      <w:r>
        <w:rPr>
          <w:rFonts w:ascii="Arial" w:hAnsi="Arial" w:cs="Arial"/>
          <w:color w:val="000000"/>
          <w:sz w:val="21"/>
        </w:rPr>
        <w:t>O Pact reconhece direitos individuais e coletivos, incluindo autodeterminação, território, cultura, língua, estruturas de governação e consentimento livre, prévio e informado. A recolha e utilização de dados devem respeitar soberania indígena, protocolos comunitários e controlo sobre conhecimento sensível. A avaliação deve considerar impactos climáticos, extrativos, territoriais e culturais, bem como deslocação, violência, criminalização e acesso a serviços culturalmente adequados.</w:t>
      </w:r>
    </w:p>
    <w:p>
      <w:pPr>
        <w:pStyle w:val="Heading2"/>
        <w:keepNext/>
        <w:widowControl/>
      </w:pPr>
      <w:r>
        <w:t>6.3 Pessoas africanas e afrodescendentes e legados da escravização</w:t>
      </w:r>
    </w:p>
    <w:p>
      <w:pPr>
        <w:widowControl/>
        <w:spacing w:after="120" w:line="271" w:lineRule="auto"/>
      </w:pPr>
      <w:r>
        <w:rPr>
          <w:rFonts w:ascii="Arial" w:hAnsi="Arial" w:cs="Arial"/>
          <w:color w:val="000000"/>
          <w:sz w:val="21"/>
        </w:rPr>
        <w:t>A justiça reparatória exige distinguir reconhecimento, responsabilidade, compromisso, execução e transformação material. A aplicação do Pact pode avaliar acesso a arquivos, ensino da história, identificação documentada de instituições beneficiárias, participação das comunidades descendentes, diferenças de património, propriedade, habitação, saúde, educação e justiça, recursos comprometidos e executados e avaliação das medidas pelas próprias comunidades.</w:t>
      </w:r>
    </w:p>
    <w:p>
      <w:pPr>
        <w:widowControl/>
        <w:spacing w:after="120" w:line="271" w:lineRule="auto"/>
      </w:pPr>
      <w:r>
        <w:rPr>
          <w:rFonts w:ascii="Arial" w:hAnsi="Arial" w:cs="Arial"/>
          <w:color w:val="000000"/>
          <w:sz w:val="21"/>
        </w:rPr>
        <w:t>Nenhuma pontuação pode tratar um gesto simbólico como equivalente a reparação material. As relações causais devem ser sustentadas por evidência histórica e contemporânea, e as comunidades afetadas devem participar na governação dos dados e das prioridades.</w:t>
      </w:r>
    </w:p>
    <w:p>
      <w:pPr>
        <w:pStyle w:val="Heading2"/>
        <w:keepNext/>
        <w:widowControl/>
      </w:pPr>
      <w:r>
        <w:t>6.4 Migração refúgio e apatridia</w:t>
      </w:r>
    </w:p>
    <w:p>
      <w:pPr>
        <w:widowControl/>
        <w:spacing w:after="120" w:line="271" w:lineRule="auto"/>
      </w:pPr>
      <w:r>
        <w:rPr>
          <w:rFonts w:ascii="Arial" w:hAnsi="Arial" w:cs="Arial"/>
          <w:color w:val="000000"/>
          <w:sz w:val="21"/>
        </w:rPr>
        <w:t>A avaliação deve considerar estatuto jurídico, documentação, acesso a serviços, trabalho digno, reunificação familiar, proteção contra exploração, detenção e violência, participação cívica e risco de discriminação. A falta de dados administrativos não pode tornar estas populações invisíveis.</w:t>
      </w:r>
    </w:p>
    <w:p>
      <w:pPr>
        <w:pStyle w:val="Heading2"/>
        <w:keepNext/>
        <w:widowControl/>
      </w:pPr>
      <w:r>
        <w:t>6.5 Género orientação sexual e identidade de género</w:t>
      </w:r>
    </w:p>
    <w:p>
      <w:pPr>
        <w:widowControl/>
        <w:spacing w:after="120" w:line="271" w:lineRule="auto"/>
      </w:pPr>
      <w:r>
        <w:rPr>
          <w:rFonts w:ascii="Arial" w:hAnsi="Arial" w:cs="Arial"/>
          <w:color w:val="000000"/>
          <w:sz w:val="21"/>
        </w:rPr>
        <w:t>O Pact exige análise de desigualdades de rendimento, cuidados, saúde, segurança, representação, violência, autonomia e acesso a direitos. A recolha de informação sensível só deve ocorrer quando necessária, segura, legal e acompanhada de proteção adequada.</w:t>
      </w:r>
    </w:p>
    <w:p>
      <w:pPr>
        <w:pStyle w:val="Heading2"/>
        <w:keepNext/>
        <w:widowControl/>
      </w:pPr>
      <w:r>
        <w:t>6.6 Idade condição socioeconómica e território</w:t>
      </w:r>
    </w:p>
    <w:p>
      <w:pPr>
        <w:widowControl/>
        <w:spacing w:after="120" w:line="271" w:lineRule="auto"/>
      </w:pPr>
      <w:r>
        <w:rPr>
          <w:rFonts w:ascii="Arial" w:hAnsi="Arial" w:cs="Arial"/>
          <w:color w:val="000000"/>
          <w:sz w:val="21"/>
        </w:rPr>
        <w:t>Crianças, jovens, pessoas idosas, pessoas em situação de pobreza e comunidades rurais, insulares, remotas ou sujeitas a discriminação territorial podem enfrentar barreiras próprias. Os indicadores devem avaliar acesso real, custo, distância, qualidade, tempo, representação e efeitos intergeracionais.</w:t>
      </w:r>
    </w:p>
    <w:p>
      <w:pPr>
        <w:pStyle w:val="Heading1"/>
        <w:keepNext/>
        <w:widowControl/>
      </w:pPr>
      <w:r>
        <w:t>7 Regras de decisão</w:t>
      </w:r>
    </w:p>
    <w:p>
      <w:pPr>
        <w:widowControl/>
        <w:spacing w:after="120" w:line="271" w:lineRule="auto"/>
      </w:pPr>
      <w:r>
        <w:rPr>
          <w:rFonts w:ascii="Arial" w:hAnsi="Arial" w:cs="Arial"/>
          <w:color w:val="000000"/>
          <w:sz w:val="21"/>
        </w:rPr>
        <w:t>As seguintes regras aplicam-se a políticas, investimentos, programas, tecnologias e avaliações institucionais.</w:t>
      </w:r>
    </w:p>
    <w:p>
      <w:pPr>
        <w:pStyle w:val="ListNumber"/>
        <w:widowControl/>
        <w:spacing w:after="80" w:line="271" w:lineRule="auto"/>
        <w:ind w:left="432" w:hanging="288"/>
      </w:pPr>
      <w:r>
        <w:rPr>
          <w:rFonts w:ascii="Arial" w:hAnsi="Arial" w:cs="Arial"/>
          <w:b/>
          <w:color w:val="000000"/>
          <w:sz w:val="21"/>
        </w:rPr>
        <w:t>Nenhum dano oculto</w:t>
      </w:r>
      <w:r>
        <w:rPr>
          <w:rFonts w:ascii="Arial" w:hAnsi="Arial" w:cs="Arial"/>
          <w:color w:val="000000"/>
          <w:sz w:val="21"/>
        </w:rPr>
        <w:t xml:space="preserve">  Uma melhoria numa dimensão não justifica dano previsível e material noutra.</w:t>
      </w:r>
    </w:p>
    <w:p>
      <w:pPr>
        <w:pStyle w:val="ListNumber"/>
        <w:widowControl/>
        <w:spacing w:after="80" w:line="271" w:lineRule="auto"/>
        <w:ind w:left="432" w:hanging="288"/>
      </w:pPr>
      <w:r>
        <w:rPr>
          <w:rFonts w:ascii="Arial" w:hAnsi="Arial" w:cs="Arial"/>
          <w:b/>
          <w:color w:val="000000"/>
          <w:sz w:val="21"/>
        </w:rPr>
        <w:t>Nenhum progresso sem direitos</w:t>
      </w:r>
      <w:r>
        <w:rPr>
          <w:rFonts w:ascii="Arial" w:hAnsi="Arial" w:cs="Arial"/>
          <w:color w:val="000000"/>
          <w:sz w:val="21"/>
        </w:rPr>
        <w:t xml:space="preserve">  Crescimento, inovação ou eficiência não constituem progresso quando dependem de violações de direitos.</w:t>
      </w:r>
    </w:p>
    <w:p>
      <w:pPr>
        <w:pStyle w:val="ListNumber"/>
        <w:widowControl/>
        <w:spacing w:after="80" w:line="271" w:lineRule="auto"/>
        <w:ind w:left="432" w:hanging="288"/>
      </w:pPr>
      <w:r>
        <w:rPr>
          <w:rFonts w:ascii="Arial" w:hAnsi="Arial" w:cs="Arial"/>
          <w:b/>
          <w:color w:val="000000"/>
          <w:sz w:val="21"/>
        </w:rPr>
        <w:t>Nenhuma média sem distribuição</w:t>
      </w:r>
      <w:r>
        <w:rPr>
          <w:rFonts w:ascii="Arial" w:hAnsi="Arial" w:cs="Arial"/>
          <w:color w:val="000000"/>
          <w:sz w:val="21"/>
        </w:rPr>
        <w:t xml:space="preserve">  Todo o resultado agregado deve ser acompanhado por desigualdades, grupos afetados e qualidade dos dados.</w:t>
      </w:r>
    </w:p>
    <w:p>
      <w:pPr>
        <w:pStyle w:val="ListNumber"/>
        <w:widowControl/>
        <w:spacing w:after="80" w:line="271" w:lineRule="auto"/>
        <w:ind w:left="432" w:hanging="288"/>
      </w:pPr>
      <w:r>
        <w:rPr>
          <w:rFonts w:ascii="Arial" w:hAnsi="Arial" w:cs="Arial"/>
          <w:b/>
          <w:color w:val="000000"/>
          <w:sz w:val="21"/>
        </w:rPr>
        <w:t>Nenhuma decisão sobre titulares de direitos sem o seu poder de participação</w:t>
      </w:r>
      <w:r>
        <w:rPr>
          <w:rFonts w:ascii="Arial" w:hAnsi="Arial" w:cs="Arial"/>
          <w:color w:val="000000"/>
          <w:sz w:val="21"/>
        </w:rPr>
        <w:t xml:space="preserve">  A consulta tardia não substitui participação na definição do problema, dos indicadores e da resposta.</w:t>
      </w:r>
    </w:p>
    <w:p>
      <w:pPr>
        <w:pStyle w:val="ListNumber"/>
        <w:widowControl/>
        <w:spacing w:after="80" w:line="271" w:lineRule="auto"/>
        <w:ind w:left="432" w:hanging="288"/>
      </w:pPr>
      <w:r>
        <w:rPr>
          <w:rFonts w:ascii="Arial" w:hAnsi="Arial" w:cs="Arial"/>
          <w:b/>
          <w:color w:val="000000"/>
          <w:sz w:val="21"/>
        </w:rPr>
        <w:t>A história integra a análise</w:t>
      </w:r>
      <w:r>
        <w:rPr>
          <w:rFonts w:ascii="Arial" w:hAnsi="Arial" w:cs="Arial"/>
          <w:color w:val="000000"/>
          <w:sz w:val="21"/>
        </w:rPr>
        <w:t xml:space="preserve">  Colonialismo, escravização, racismo, desigualdade de género, expropriação e outras estruturas históricas devem ser considerados quando existam mecanismos demonstráveis de continuidade.</w:t>
      </w:r>
    </w:p>
    <w:p>
      <w:pPr>
        <w:pStyle w:val="ListNumber"/>
        <w:widowControl/>
        <w:spacing w:after="80" w:line="271" w:lineRule="auto"/>
        <w:ind w:left="432" w:hanging="288"/>
      </w:pPr>
      <w:r>
        <w:rPr>
          <w:rFonts w:ascii="Arial" w:hAnsi="Arial" w:cs="Arial"/>
          <w:b/>
          <w:color w:val="000000"/>
          <w:sz w:val="21"/>
        </w:rPr>
        <w:t>O benefício privado cria deveres públicos</w:t>
      </w:r>
      <w:r>
        <w:rPr>
          <w:rFonts w:ascii="Arial" w:hAnsi="Arial" w:cs="Arial"/>
          <w:color w:val="000000"/>
          <w:sz w:val="21"/>
        </w:rPr>
        <w:t xml:space="preserve">  O uso de recursos, dados, trabalho, infraestruturas ou garantias públicas exige transparência e responsabilização proporcionais.</w:t>
      </w:r>
    </w:p>
    <w:p>
      <w:pPr>
        <w:pStyle w:val="ListNumber"/>
        <w:widowControl/>
        <w:spacing w:after="80" w:line="271" w:lineRule="auto"/>
        <w:ind w:left="432" w:hanging="288"/>
      </w:pPr>
      <w:r>
        <w:rPr>
          <w:rFonts w:ascii="Arial" w:hAnsi="Arial" w:cs="Arial"/>
          <w:b/>
          <w:color w:val="000000"/>
          <w:sz w:val="21"/>
        </w:rPr>
        <w:t>As gerações futuras são partes interessadas</w:t>
      </w:r>
      <w:r>
        <w:rPr>
          <w:rFonts w:ascii="Arial" w:hAnsi="Arial" w:cs="Arial"/>
          <w:color w:val="000000"/>
          <w:sz w:val="21"/>
        </w:rPr>
        <w:t xml:space="preserve">  Os riscos de longo prazo devem ser integrados na decisão presente.</w:t>
      </w:r>
    </w:p>
    <w:p>
      <w:pPr>
        <w:pStyle w:val="ListNumber"/>
        <w:widowControl/>
        <w:spacing w:after="80" w:line="271" w:lineRule="auto"/>
        <w:ind w:left="432" w:hanging="288"/>
      </w:pPr>
      <w:r>
        <w:rPr>
          <w:rFonts w:ascii="Arial" w:hAnsi="Arial" w:cs="Arial"/>
          <w:b/>
          <w:color w:val="000000"/>
          <w:sz w:val="21"/>
        </w:rPr>
        <w:t>Os limites planetários não são compensáveis</w:t>
      </w:r>
      <w:r>
        <w:rPr>
          <w:rFonts w:ascii="Arial" w:hAnsi="Arial" w:cs="Arial"/>
          <w:color w:val="000000"/>
          <w:sz w:val="21"/>
        </w:rPr>
        <w:t xml:space="preserve">  Danos ecológicos críticos não são neutralizados por benefícios económicos ou sociais.</w:t>
      </w:r>
    </w:p>
    <w:p>
      <w:pPr>
        <w:pStyle w:val="ListNumber"/>
        <w:widowControl/>
        <w:spacing w:after="80" w:line="271" w:lineRule="auto"/>
        <w:ind w:left="432" w:hanging="288"/>
      </w:pPr>
      <w:r>
        <w:rPr>
          <w:rFonts w:ascii="Arial" w:hAnsi="Arial" w:cs="Arial"/>
          <w:b/>
          <w:color w:val="000000"/>
          <w:sz w:val="21"/>
        </w:rPr>
        <w:t>Os dados não substituem a experiência vivida</w:t>
      </w:r>
      <w:r>
        <w:rPr>
          <w:rFonts w:ascii="Arial" w:hAnsi="Arial" w:cs="Arial"/>
          <w:color w:val="000000"/>
          <w:sz w:val="21"/>
        </w:rPr>
        <w:t xml:space="preserve">  Evidência quantitativa, qualitativa e comunitária deve ser triangulada.</w:t>
      </w:r>
    </w:p>
    <w:p>
      <w:pPr>
        <w:pStyle w:val="ListNumber"/>
        <w:widowControl/>
        <w:spacing w:after="80" w:line="271" w:lineRule="auto"/>
        <w:ind w:left="432" w:hanging="288"/>
      </w:pPr>
      <w:r>
        <w:rPr>
          <w:rFonts w:ascii="Arial" w:hAnsi="Arial" w:cs="Arial"/>
          <w:b/>
          <w:color w:val="000000"/>
          <w:sz w:val="21"/>
        </w:rPr>
        <w:t>Dados em falta permanecem visíveis</w:t>
      </w:r>
      <w:r>
        <w:rPr>
          <w:rFonts w:ascii="Arial" w:hAnsi="Arial" w:cs="Arial"/>
          <w:color w:val="000000"/>
          <w:sz w:val="21"/>
        </w:rPr>
        <w:t xml:space="preserve">  A ausência de informação não é automaticamente convertida em zero, média ou inexistência de problema.</w:t>
      </w:r>
    </w:p>
    <w:p>
      <w:pPr>
        <w:pStyle w:val="ListNumber"/>
        <w:widowControl/>
        <w:spacing w:after="80" w:line="271" w:lineRule="auto"/>
        <w:ind w:left="432" w:hanging="288"/>
      </w:pPr>
      <w:r>
        <w:rPr>
          <w:rFonts w:ascii="Arial" w:hAnsi="Arial" w:cs="Arial"/>
          <w:b/>
          <w:color w:val="000000"/>
          <w:sz w:val="21"/>
        </w:rPr>
        <w:t>Autodeclaração não equivale a verificação</w:t>
      </w:r>
      <w:r>
        <w:rPr>
          <w:rFonts w:ascii="Arial" w:hAnsi="Arial" w:cs="Arial"/>
          <w:color w:val="000000"/>
          <w:sz w:val="21"/>
        </w:rPr>
        <w:t xml:space="preserve">  O estado da evidência deve acompanhar cada afirmação pública.</w:t>
      </w:r>
    </w:p>
    <w:p>
      <w:pPr>
        <w:pStyle w:val="ListNumber"/>
        <w:widowControl/>
        <w:spacing w:after="80" w:line="271" w:lineRule="auto"/>
        <w:ind w:left="432" w:hanging="288"/>
      </w:pPr>
      <w:r>
        <w:rPr>
          <w:rFonts w:ascii="Arial" w:hAnsi="Arial" w:cs="Arial"/>
          <w:b/>
          <w:color w:val="000000"/>
          <w:sz w:val="21"/>
        </w:rPr>
        <w:t>Medição implica ação e correção</w:t>
      </w:r>
      <w:r>
        <w:rPr>
          <w:rFonts w:ascii="Arial" w:hAnsi="Arial" w:cs="Arial"/>
          <w:color w:val="000000"/>
          <w:sz w:val="21"/>
        </w:rPr>
        <w:t xml:space="preserve">  Um indicador deve estar associado a responsável, prazo, recurso, revisão e via de reparação.</w:t>
      </w:r>
    </w:p>
    <w:p>
      <w:pPr>
        <w:pStyle w:val="Heading1"/>
        <w:keepNext/>
        <w:widowControl/>
      </w:pPr>
      <w:r>
        <w:t>8 Compromissos do Humanity Pact</w:t>
      </w:r>
    </w:p>
    <w:p>
      <w:pPr>
        <w:widowControl/>
        <w:spacing w:after="120" w:line="271" w:lineRule="auto"/>
      </w:pPr>
      <w:r>
        <w:rPr>
          <w:rFonts w:ascii="Arial" w:hAnsi="Arial" w:cs="Arial"/>
          <w:color w:val="000000"/>
          <w:sz w:val="21"/>
        </w:rPr>
        <w:t>As entidades aderentes escolhem um âmbito concreto e assumem os compromissos correspondentes ao seu nível de participação.</w:t>
      </w:r>
    </w:p>
    <w:p>
      <w:pPr>
        <w:pStyle w:val="Heading2"/>
        <w:keepNext/>
        <w:widowControl/>
      </w:pPr>
      <w:r>
        <w:t>Compromisso 1 Redefinir progresso</w:t>
      </w:r>
    </w:p>
    <w:p>
      <w:pPr>
        <w:widowControl/>
        <w:spacing w:after="120" w:line="271" w:lineRule="auto"/>
      </w:pPr>
      <w:r>
        <w:rPr>
          <w:rFonts w:ascii="Arial" w:hAnsi="Arial" w:cs="Arial"/>
          <w:color w:val="000000"/>
          <w:sz w:val="21"/>
        </w:rPr>
        <w:t>Avaliar o progresso para além do Produto Interno Bruto e de resultados institucionais isolados, utilizando os seis pilares e as três garantias do Humanity Pact.</w:t>
      </w:r>
    </w:p>
    <w:p>
      <w:pPr>
        <w:pStyle w:val="Heading2"/>
        <w:keepNext/>
        <w:widowControl/>
      </w:pPr>
      <w:r>
        <w:t>Compromisso 2 Proteger o Piso de Dignidade</w:t>
      </w:r>
    </w:p>
    <w:p>
      <w:pPr>
        <w:widowControl/>
        <w:spacing w:after="120" w:line="271" w:lineRule="auto"/>
      </w:pPr>
      <w:r>
        <w:rPr>
          <w:rFonts w:ascii="Arial" w:hAnsi="Arial" w:cs="Arial"/>
          <w:color w:val="000000"/>
          <w:sz w:val="21"/>
        </w:rPr>
        <w:t>Assegurar acesso efetivo às condições mínimas de uma vida digna e priorizar a correção das privações mais graves.</w:t>
      </w:r>
    </w:p>
    <w:p>
      <w:pPr>
        <w:pStyle w:val="Heading2"/>
        <w:keepNext/>
        <w:widowControl/>
      </w:pPr>
      <w:r>
        <w:t>Compromisso 3 Defender justiça e direitos</w:t>
      </w:r>
    </w:p>
    <w:p>
      <w:pPr>
        <w:widowControl/>
        <w:spacing w:after="120" w:line="271" w:lineRule="auto"/>
      </w:pPr>
      <w:r>
        <w:rPr>
          <w:rFonts w:ascii="Arial" w:hAnsi="Arial" w:cs="Arial"/>
          <w:color w:val="000000"/>
          <w:sz w:val="21"/>
        </w:rPr>
        <w:t>Prevenir discriminação, violência, repressão e exclusão; garantir acesso a justiça, resposta e reparação.</w:t>
      </w:r>
    </w:p>
    <w:p>
      <w:pPr>
        <w:pStyle w:val="Heading2"/>
        <w:keepNext/>
        <w:widowControl/>
      </w:pPr>
      <w:r>
        <w:t>Compromisso 4 Fortalecer esperança e agência</w:t>
      </w:r>
    </w:p>
    <w:p>
      <w:pPr>
        <w:widowControl/>
        <w:spacing w:after="120" w:line="271" w:lineRule="auto"/>
      </w:pPr>
      <w:r>
        <w:rPr>
          <w:rFonts w:ascii="Arial" w:hAnsi="Arial" w:cs="Arial"/>
          <w:color w:val="000000"/>
          <w:sz w:val="21"/>
        </w:rPr>
        <w:t>Criar condições para pertença, sentido, confiança justificada, participação e capacidade coletiva de influenciar decisões.</w:t>
      </w:r>
    </w:p>
    <w:p>
      <w:pPr>
        <w:pStyle w:val="Heading2"/>
        <w:keepNext/>
        <w:widowControl/>
      </w:pPr>
      <w:r>
        <w:t>Compromisso 5 Proteger cultura memória e conhecimento</w:t>
      </w:r>
    </w:p>
    <w:p>
      <w:pPr>
        <w:widowControl/>
        <w:spacing w:after="120" w:line="271" w:lineRule="auto"/>
      </w:pPr>
      <w:r>
        <w:rPr>
          <w:rFonts w:ascii="Arial" w:hAnsi="Arial" w:cs="Arial"/>
          <w:color w:val="000000"/>
          <w:sz w:val="21"/>
        </w:rPr>
        <w:t>Respeitar direitos culturais, línguas, património, arquivos, pluralidade de conhecimentos, representação e controlo comunitário sobre narrativas.</w:t>
      </w:r>
    </w:p>
    <w:p>
      <w:pPr>
        <w:pStyle w:val="Heading2"/>
        <w:keepNext/>
        <w:widowControl/>
      </w:pPr>
      <w:r>
        <w:t>Compromisso 6 Promover justiça económica</w:t>
      </w:r>
    </w:p>
    <w:p>
      <w:pPr>
        <w:widowControl/>
        <w:spacing w:after="120" w:line="271" w:lineRule="auto"/>
      </w:pPr>
      <w:r>
        <w:rPr>
          <w:rFonts w:ascii="Arial" w:hAnsi="Arial" w:cs="Arial"/>
          <w:color w:val="000000"/>
          <w:sz w:val="21"/>
        </w:rPr>
        <w:t>Reduzir desigualdades injustas de rendimento, riqueza, propriedade e poder; proteger trabalho digno e orientar recursos para necessidades e reparação demonstradas.</w:t>
      </w:r>
    </w:p>
    <w:p>
      <w:pPr>
        <w:pStyle w:val="Heading2"/>
        <w:keepNext/>
        <w:widowControl/>
      </w:pPr>
      <w:r>
        <w:t>Compromisso 7 Governar futuros e tecnologia</w:t>
      </w:r>
    </w:p>
    <w:p>
      <w:pPr>
        <w:widowControl/>
        <w:spacing w:after="120" w:line="271" w:lineRule="auto"/>
      </w:pPr>
      <w:r>
        <w:rPr>
          <w:rFonts w:ascii="Arial" w:hAnsi="Arial" w:cs="Arial"/>
          <w:color w:val="000000"/>
          <w:sz w:val="21"/>
        </w:rPr>
        <w:t>Avaliar consequências de longo prazo, proteger gerações futuras e submeter tecnologias emergentes a direitos, participação, supervisão humana e avaliação de risco.</w:t>
      </w:r>
    </w:p>
    <w:p>
      <w:pPr>
        <w:pStyle w:val="Heading2"/>
        <w:keepNext/>
        <w:widowControl/>
      </w:pPr>
      <w:r>
        <w:t>Compromisso 8 Aplicar inclusão e equidade</w:t>
      </w:r>
    </w:p>
    <w:p>
      <w:pPr>
        <w:widowControl/>
        <w:spacing w:after="120" w:line="271" w:lineRule="auto"/>
      </w:pPr>
      <w:r>
        <w:rPr>
          <w:rFonts w:ascii="Arial" w:hAnsi="Arial" w:cs="Arial"/>
          <w:color w:val="000000"/>
          <w:sz w:val="21"/>
        </w:rPr>
        <w:t>Desagregar resultados, identificar barreiras e grupos invisíveis e incluir titulares de direitos na governação das decisões e dos dados.</w:t>
      </w:r>
    </w:p>
    <w:p>
      <w:pPr>
        <w:pStyle w:val="Heading2"/>
        <w:keepNext/>
        <w:widowControl/>
      </w:pPr>
      <w:r>
        <w:t>Compromisso 9 Respeitar o Equilíbrio Planetário</w:t>
      </w:r>
    </w:p>
    <w:p>
      <w:pPr>
        <w:widowControl/>
        <w:spacing w:after="120" w:line="271" w:lineRule="auto"/>
      </w:pPr>
      <w:r>
        <w:rPr>
          <w:rFonts w:ascii="Arial" w:hAnsi="Arial" w:cs="Arial"/>
          <w:color w:val="000000"/>
          <w:sz w:val="21"/>
        </w:rPr>
        <w:t>Produzir bem-estar dentro de limites ecológicos, reduzir impactos, proteger biodiversidade e assegurar uma transição justa.</w:t>
      </w:r>
    </w:p>
    <w:p>
      <w:pPr>
        <w:pStyle w:val="Heading2"/>
        <w:keepNext/>
        <w:widowControl/>
      </w:pPr>
      <w:r>
        <w:t>Compromisso 10 Praticar transparência e responsabilização</w:t>
      </w:r>
    </w:p>
    <w:p>
      <w:pPr>
        <w:widowControl/>
        <w:spacing w:after="120" w:line="271" w:lineRule="auto"/>
      </w:pPr>
      <w:r>
        <w:rPr>
          <w:rFonts w:ascii="Arial" w:hAnsi="Arial" w:cs="Arial"/>
          <w:color w:val="000000"/>
          <w:sz w:val="21"/>
        </w:rPr>
        <w:t>Publicar compromissos, recursos, interesses, metodologia, evidência, resultados, falhas e medidas corretivas, protegendo informação sensível de forma justificada.</w:t>
      </w:r>
    </w:p>
    <w:p>
      <w:pPr>
        <w:pStyle w:val="Heading2"/>
        <w:keepNext/>
        <w:widowControl/>
      </w:pPr>
      <w:r>
        <w:t>Compromisso 11 Usar dados e inteligência artificial de forma responsável</w:t>
      </w:r>
    </w:p>
    <w:p>
      <w:pPr>
        <w:widowControl/>
        <w:spacing w:after="120" w:line="271" w:lineRule="auto"/>
      </w:pPr>
      <w:r>
        <w:rPr>
          <w:rFonts w:ascii="Arial" w:hAnsi="Arial" w:cs="Arial"/>
          <w:color w:val="000000"/>
          <w:sz w:val="21"/>
        </w:rPr>
        <w:t>Aplicar minimização, segurança, consentimento ou base legítima, explicabilidade, não discriminação, supervisão humana, auditoria e soberania comunitária.</w:t>
      </w:r>
    </w:p>
    <w:p>
      <w:pPr>
        <w:pStyle w:val="Heading2"/>
        <w:keepNext/>
        <w:widowControl/>
      </w:pPr>
      <w:r>
        <w:t>Compromisso 12 Agir reportar corrigir e renovar</w:t>
      </w:r>
    </w:p>
    <w:p>
      <w:pPr>
        <w:widowControl/>
        <w:spacing w:after="120" w:line="271" w:lineRule="auto"/>
      </w:pPr>
      <w:r>
        <w:rPr>
          <w:rFonts w:ascii="Arial" w:hAnsi="Arial" w:cs="Arial"/>
          <w:color w:val="000000"/>
          <w:sz w:val="21"/>
        </w:rPr>
        <w:t>Converter resultados em ação, rever a execução, responder a reclamações, reparar danos e atualizar compromissos com base em evidência e deliberação.</w:t>
      </w:r>
    </w:p>
    <w:p>
      <w:pPr>
        <w:pStyle w:val="Heading1"/>
        <w:keepNext/>
        <w:widowControl/>
      </w:pPr>
      <w:r>
        <w:t>9 Modalidades de compromisso e uso público</w:t>
      </w:r>
    </w:p>
    <w:p>
      <w:pPr>
        <w:widowControl/>
        <w:spacing w:after="120" w:line="271" w:lineRule="auto"/>
      </w:pPr>
      <w:r>
        <w:rPr>
          <w:rFonts w:ascii="Arial" w:hAnsi="Arial" w:cs="Arial"/>
          <w:color w:val="000000"/>
          <w:sz w:val="21"/>
        </w:rPr>
        <w:t>O Humanity Pact distingue apoio, implementação e revisão independente. A distinção protege o público contra alegações vagas e protege entidades responsáveis contra expectativas que não assumiram.</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val="true"/>
        </w:trPr>
        <w:tc>
          <w:tcPr>
            <w:tcW w:type="dxa" w:w="2232"/>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Nível</w:t>
            </w:r>
          </w:p>
        </w:tc>
        <w:tc>
          <w:tcPr>
            <w:tcW w:type="dxa" w:w="4752"/>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Requisitos mínimos</w:t>
            </w:r>
          </w:p>
        </w:tc>
        <w:tc>
          <w:tcPr>
            <w:tcW w:type="dxa" w:w="2951"/>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Declaração pública permitida</w:t>
            </w:r>
          </w:p>
        </w:tc>
      </w:tr>
      <w:tr>
        <w:trPr>
          <w:cantSplit w:val="true"/>
        </w:trPr>
        <w:tc>
          <w:tcPr>
            <w:tcW w:type="dxa" w:w="2232"/>
            <w:vAlign w:val="center"/>
            <w:tcMar>
              <w:top w:w="100" w:type="dxa"/>
              <w:start w:w="120" w:type="dxa"/>
              <w:bottom w:w="100" w:type="dxa"/>
              <w:end w:w="120" w:type="dxa"/>
            </w:tcMar>
          </w:tcPr>
          <w:p>
            <w:pPr>
              <w:spacing w:after="0" w:line="254" w:lineRule="auto"/>
            </w:pPr>
            <w:r>
              <w:rPr>
                <w:rFonts w:ascii="Arial" w:hAnsi="Arial" w:cs="Arial"/>
                <w:b/>
                <w:color w:val="000000"/>
                <w:sz w:val="17"/>
              </w:rPr>
              <w:t>1 Aderente</w:t>
            </w:r>
          </w:p>
        </w:tc>
        <w:tc>
          <w:tcPr>
            <w:tcW w:type="dxa" w:w="4752"/>
            <w:vAlign w:val="center"/>
            <w:tcMar>
              <w:top w:w="100" w:type="dxa"/>
              <w:start w:w="120" w:type="dxa"/>
              <w:bottom w:w="100" w:type="dxa"/>
              <w:end w:w="120" w:type="dxa"/>
            </w:tcMar>
          </w:tcPr>
          <w:p>
            <w:pPr>
              <w:spacing w:after="0" w:line="254" w:lineRule="auto"/>
            </w:pPr>
            <w:r>
              <w:rPr>
                <w:rFonts w:ascii="Arial" w:hAnsi="Arial" w:cs="Arial"/>
                <w:color w:val="000000"/>
                <w:sz w:val="17"/>
              </w:rPr>
              <w:t>Aceitação pública dos princípios e identificação da entidade responsável</w:t>
            </w:r>
          </w:p>
        </w:tc>
        <w:tc>
          <w:tcPr>
            <w:tcW w:type="dxa" w:w="2951"/>
            <w:vAlign w:val="center"/>
            <w:tcMar>
              <w:top w:w="100" w:type="dxa"/>
              <w:start w:w="120" w:type="dxa"/>
              <w:bottom w:w="100" w:type="dxa"/>
              <w:end w:w="120" w:type="dxa"/>
            </w:tcMar>
          </w:tcPr>
          <w:p>
            <w:pPr>
              <w:spacing w:after="0" w:line="254" w:lineRule="auto"/>
            </w:pPr>
            <w:r>
              <w:rPr>
                <w:rFonts w:ascii="Arial" w:hAnsi="Arial" w:cs="Arial"/>
                <w:color w:val="000000"/>
                <w:sz w:val="17"/>
              </w:rPr>
              <w:t>Aderente ao Humanity Pact  Sem alegação de implementação, conformidade ou certificação</w:t>
            </w:r>
          </w:p>
        </w:tc>
      </w:tr>
      <w:tr>
        <w:trPr>
          <w:cantSplit w:val="true"/>
        </w:trPr>
        <w:tc>
          <w:tcPr>
            <w:tcW w:type="dxa" w:w="2232"/>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2 Implementador</w:t>
            </w:r>
          </w:p>
        </w:tc>
        <w:tc>
          <w:tcPr>
            <w:tcW w:type="dxa" w:w="4752"/>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Âmbito definido, linha de base, metas, participação, recursos, indicadores e relatório periódico</w:t>
            </w:r>
          </w:p>
        </w:tc>
        <w:tc>
          <w:tcPr>
            <w:tcW w:type="dxa" w:w="2951"/>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Implementa o Humanity Pact no âmbito identificado  Resultados permanecem sujeitos a evidência</w:t>
            </w:r>
          </w:p>
        </w:tc>
      </w:tr>
      <w:tr>
        <w:trPr>
          <w:cantSplit w:val="true"/>
        </w:trPr>
        <w:tc>
          <w:tcPr>
            <w:tcW w:type="dxa" w:w="2232"/>
            <w:vAlign w:val="center"/>
            <w:tcMar>
              <w:top w:w="100" w:type="dxa"/>
              <w:start w:w="120" w:type="dxa"/>
              <w:bottom w:w="100" w:type="dxa"/>
              <w:end w:w="120" w:type="dxa"/>
            </w:tcMar>
          </w:tcPr>
          <w:p>
            <w:pPr>
              <w:spacing w:after="0" w:line="254" w:lineRule="auto"/>
            </w:pPr>
            <w:r>
              <w:rPr>
                <w:rFonts w:ascii="Arial" w:hAnsi="Arial" w:cs="Arial"/>
                <w:b/>
                <w:color w:val="000000"/>
                <w:sz w:val="17"/>
              </w:rPr>
              <w:t>3 Implementação revista de forma independente</w:t>
            </w:r>
          </w:p>
        </w:tc>
        <w:tc>
          <w:tcPr>
            <w:tcW w:type="dxa" w:w="4752"/>
            <w:vAlign w:val="center"/>
            <w:tcMar>
              <w:top w:w="100" w:type="dxa"/>
              <w:start w:w="120" w:type="dxa"/>
              <w:bottom w:w="100" w:type="dxa"/>
              <w:end w:w="120" w:type="dxa"/>
            </w:tcMar>
          </w:tcPr>
          <w:p>
            <w:pPr>
              <w:spacing w:after="0" w:line="254" w:lineRule="auto"/>
            </w:pPr>
            <w:r>
              <w:rPr>
                <w:rFonts w:ascii="Arial" w:hAnsi="Arial" w:cs="Arial"/>
                <w:color w:val="000000"/>
                <w:sz w:val="17"/>
              </w:rPr>
              <w:t>Revisão por entidade independente, publicação das conclusões e plano de correção</w:t>
            </w:r>
          </w:p>
        </w:tc>
        <w:tc>
          <w:tcPr>
            <w:tcW w:type="dxa" w:w="2951"/>
            <w:vAlign w:val="center"/>
            <w:tcMar>
              <w:top w:w="100" w:type="dxa"/>
              <w:start w:w="120" w:type="dxa"/>
              <w:bottom w:w="100" w:type="dxa"/>
              <w:end w:w="120" w:type="dxa"/>
            </w:tcMar>
          </w:tcPr>
          <w:p>
            <w:pPr>
              <w:spacing w:after="0" w:line="254" w:lineRule="auto"/>
            </w:pPr>
            <w:r>
              <w:rPr>
                <w:rFonts w:ascii="Arial" w:hAnsi="Arial" w:cs="Arial"/>
                <w:color w:val="000000"/>
                <w:sz w:val="17"/>
              </w:rPr>
              <w:t>Implementação submetida a revisão independente  Não equivale a certificação salvo norma formal aplicável</w:t>
            </w:r>
          </w:p>
        </w:tc>
      </w:tr>
    </w:tbl>
    <w:p>
      <w:pPr>
        <w:widowControl/>
        <w:spacing w:after="40"/>
      </w:pPr>
    </w:p>
    <w:p>
      <w:pPr>
        <w:pStyle w:val="Heading2"/>
        <w:keepNext/>
        <w:widowControl/>
      </w:pPr>
      <w:r>
        <w:t>9.1 Condições de utilização do nome</w:t>
      </w:r>
    </w:p>
    <w:p>
      <w:pPr>
        <w:widowControl/>
        <w:spacing w:after="120" w:line="271" w:lineRule="auto"/>
      </w:pPr>
      <w:r>
        <w:rPr>
          <w:rFonts w:ascii="Arial" w:hAnsi="Arial" w:cs="Arial"/>
          <w:color w:val="000000"/>
          <w:sz w:val="21"/>
        </w:rPr>
        <w:t>O nome, a marca, a metodologia e o Dashboard do Humanity Pact não podem ser usados para sugerir certificação, validação científica, conformidade ou desempenho quando esse estado não tenha sido formalmente atribuído.</w:t>
      </w:r>
    </w:p>
    <w:p>
      <w:pPr>
        <w:widowControl/>
        <w:spacing w:after="120" w:line="271" w:lineRule="auto"/>
      </w:pPr>
      <w:r>
        <w:rPr>
          <w:rFonts w:ascii="Arial" w:hAnsi="Arial" w:cs="Arial"/>
          <w:color w:val="000000"/>
          <w:sz w:val="21"/>
        </w:rPr>
        <w:t>Uma entidade deve:</w:t>
      </w:r>
    </w:p>
    <w:p>
      <w:pPr>
        <w:pStyle w:val="ListBullet"/>
        <w:widowControl/>
        <w:spacing w:after="64" w:line="271" w:lineRule="auto"/>
        <w:ind w:left="374" w:hanging="230"/>
      </w:pPr>
      <w:r>
        <w:rPr>
          <w:rFonts w:ascii="Arial" w:hAnsi="Arial" w:cs="Arial"/>
          <w:color w:val="000000"/>
          <w:sz w:val="21"/>
        </w:rPr>
        <w:t>Utilizar a designação exata do seu nível e âmbito.</w:t>
      </w:r>
    </w:p>
    <w:p>
      <w:pPr>
        <w:pStyle w:val="ListBullet"/>
        <w:widowControl/>
        <w:spacing w:after="64" w:line="271" w:lineRule="auto"/>
        <w:ind w:left="374" w:hanging="230"/>
      </w:pPr>
      <w:r>
        <w:rPr>
          <w:rFonts w:ascii="Arial" w:hAnsi="Arial" w:cs="Arial"/>
          <w:color w:val="000000"/>
          <w:sz w:val="21"/>
        </w:rPr>
        <w:t>Manter um perfil atualizado com data e versão.</w:t>
      </w:r>
    </w:p>
    <w:p>
      <w:pPr>
        <w:pStyle w:val="ListBullet"/>
        <w:widowControl/>
        <w:spacing w:after="64" w:line="271" w:lineRule="auto"/>
        <w:ind w:left="374" w:hanging="230"/>
      </w:pPr>
      <w:r>
        <w:rPr>
          <w:rFonts w:ascii="Arial" w:hAnsi="Arial" w:cs="Arial"/>
          <w:color w:val="000000"/>
          <w:sz w:val="21"/>
        </w:rPr>
        <w:t>Publicar conflitos de interesses e fontes de financiamento relevantes.</w:t>
      </w:r>
    </w:p>
    <w:p>
      <w:pPr>
        <w:pStyle w:val="ListBullet"/>
        <w:widowControl/>
        <w:spacing w:after="64" w:line="271" w:lineRule="auto"/>
        <w:ind w:left="374" w:hanging="230"/>
      </w:pPr>
      <w:r>
        <w:rPr>
          <w:rFonts w:ascii="Arial" w:hAnsi="Arial" w:cs="Arial"/>
          <w:color w:val="000000"/>
          <w:sz w:val="21"/>
        </w:rPr>
        <w:t>Corrigir declarações incorretas ou desatualizadas.</w:t>
      </w:r>
    </w:p>
    <w:p>
      <w:pPr>
        <w:pStyle w:val="ListBullet"/>
        <w:widowControl/>
        <w:spacing w:after="64" w:line="271" w:lineRule="auto"/>
        <w:ind w:left="374" w:hanging="230"/>
      </w:pPr>
      <w:r>
        <w:rPr>
          <w:rFonts w:ascii="Arial" w:hAnsi="Arial" w:cs="Arial"/>
          <w:color w:val="000000"/>
          <w:sz w:val="21"/>
        </w:rPr>
        <w:t>Aceitar suspensão ou revogação da associação em caso de uso enganador, dano grave, obstrução de revisão ou incumprimento persistente de reporte.</w:t>
      </w:r>
    </w:p>
    <w:p>
      <w:pPr>
        <w:pStyle w:val="Heading2"/>
        <w:keepNext/>
        <w:widowControl/>
      </w:pPr>
      <w:r>
        <w:t>9.2 Estado da evidência</w:t>
      </w:r>
    </w:p>
    <w:p>
      <w:pPr>
        <w:widowControl/>
        <w:spacing w:after="120" w:line="271" w:lineRule="auto"/>
      </w:pPr>
      <w:r>
        <w:rPr>
          <w:rFonts w:ascii="Arial" w:hAnsi="Arial" w:cs="Arial"/>
          <w:color w:val="000000"/>
          <w:sz w:val="21"/>
        </w:rPr>
        <w:t>Cada afirmação material deve apresentar um estado de evidência.</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rPr>
          <w:tblHeader w:val="true"/>
          <w:cantSplit w:val="true"/>
        </w:trPr>
        <w:tc>
          <w:tcPr>
            <w:tcW w:type="dxa" w:w="3024"/>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Estado da evidência</w:t>
            </w:r>
          </w:p>
        </w:tc>
        <w:tc>
          <w:tcPr>
            <w:tcW w:type="dxa" w:w="6912"/>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Significado</w:t>
            </w:r>
          </w:p>
        </w:tc>
      </w:tr>
      <w:tr>
        <w:trPr>
          <w:cantSplit w:val="true"/>
        </w:trPr>
        <w:tc>
          <w:tcPr>
            <w:tcW w:type="dxa" w:w="3024"/>
            <w:vAlign w:val="center"/>
            <w:tcMar>
              <w:top w:w="100" w:type="dxa"/>
              <w:start w:w="120" w:type="dxa"/>
              <w:bottom w:w="100" w:type="dxa"/>
              <w:end w:w="120" w:type="dxa"/>
            </w:tcMar>
          </w:tcPr>
          <w:p>
            <w:pPr>
              <w:spacing w:after="0" w:line="254" w:lineRule="auto"/>
            </w:pPr>
            <w:r>
              <w:rPr>
                <w:rFonts w:ascii="Arial" w:hAnsi="Arial" w:cs="Arial"/>
                <w:b/>
                <w:color w:val="000000"/>
                <w:sz w:val="18"/>
              </w:rPr>
              <w:t>Declarado</w:t>
            </w:r>
          </w:p>
        </w:tc>
        <w:tc>
          <w:tcPr>
            <w:tcW w:type="dxa" w:w="6912"/>
            <w:vAlign w:val="center"/>
            <w:tcMar>
              <w:top w:w="100" w:type="dxa"/>
              <w:start w:w="120" w:type="dxa"/>
              <w:bottom w:w="100" w:type="dxa"/>
              <w:end w:w="120" w:type="dxa"/>
            </w:tcMar>
          </w:tcPr>
          <w:p>
            <w:pPr>
              <w:spacing w:after="0" w:line="254" w:lineRule="auto"/>
            </w:pPr>
            <w:r>
              <w:rPr>
                <w:rFonts w:ascii="Arial" w:hAnsi="Arial" w:cs="Arial"/>
                <w:color w:val="000000"/>
                <w:sz w:val="18"/>
              </w:rPr>
              <w:t>Informação fornecida pela própria entidade sem documentação pública suficiente</w:t>
            </w:r>
          </w:p>
        </w:tc>
      </w:tr>
      <w:tr>
        <w:trPr>
          <w:cantSplit w:val="true"/>
        </w:trPr>
        <w:tc>
          <w:tcPr>
            <w:tcW w:type="dxa" w:w="3024"/>
            <w:vAlign w:val="center"/>
            <w:tcMar>
              <w:top w:w="100" w:type="dxa"/>
              <w:start w:w="120" w:type="dxa"/>
              <w:bottom w:w="100" w:type="dxa"/>
              <w:end w:w="120" w:type="dxa"/>
            </w:tcMar>
            <w:shd w:fill="F2F6F9"/>
          </w:tcPr>
          <w:p>
            <w:pPr>
              <w:spacing w:after="0" w:line="254" w:lineRule="auto"/>
            </w:pPr>
            <w:r>
              <w:rPr>
                <w:rFonts w:ascii="Arial" w:hAnsi="Arial" w:cs="Arial"/>
                <w:b/>
                <w:color w:val="000000"/>
                <w:sz w:val="18"/>
              </w:rPr>
              <w:t>Documentado</w:t>
            </w:r>
          </w:p>
        </w:tc>
        <w:tc>
          <w:tcPr>
            <w:tcW w:type="dxa" w:w="6912"/>
            <w:vAlign w:val="center"/>
            <w:tcMar>
              <w:top w:w="100" w:type="dxa"/>
              <w:start w:w="120" w:type="dxa"/>
              <w:bottom w:w="100" w:type="dxa"/>
              <w:end w:w="120" w:type="dxa"/>
            </w:tcMar>
            <w:shd w:fill="F2F6F9"/>
          </w:tcPr>
          <w:p>
            <w:pPr>
              <w:spacing w:after="0" w:line="254" w:lineRule="auto"/>
            </w:pPr>
            <w:r>
              <w:rPr>
                <w:rFonts w:ascii="Arial" w:hAnsi="Arial" w:cs="Arial"/>
                <w:color w:val="000000"/>
                <w:sz w:val="18"/>
              </w:rPr>
              <w:t>Afirmação apoiada por documentos, dados e fontes identificadas</w:t>
            </w:r>
          </w:p>
        </w:tc>
      </w:tr>
      <w:tr>
        <w:trPr>
          <w:cantSplit w:val="true"/>
        </w:trPr>
        <w:tc>
          <w:tcPr>
            <w:tcW w:type="dxa" w:w="3024"/>
            <w:vAlign w:val="center"/>
            <w:tcMar>
              <w:top w:w="100" w:type="dxa"/>
              <w:start w:w="120" w:type="dxa"/>
              <w:bottom w:w="100" w:type="dxa"/>
              <w:end w:w="120" w:type="dxa"/>
            </w:tcMar>
          </w:tcPr>
          <w:p>
            <w:pPr>
              <w:spacing w:after="0" w:line="254" w:lineRule="auto"/>
            </w:pPr>
            <w:r>
              <w:rPr>
                <w:rFonts w:ascii="Arial" w:hAnsi="Arial" w:cs="Arial"/>
                <w:b/>
                <w:color w:val="000000"/>
                <w:sz w:val="18"/>
              </w:rPr>
              <w:t>Revisto independentemente</w:t>
            </w:r>
          </w:p>
        </w:tc>
        <w:tc>
          <w:tcPr>
            <w:tcW w:type="dxa" w:w="6912"/>
            <w:vAlign w:val="center"/>
            <w:tcMar>
              <w:top w:w="100" w:type="dxa"/>
              <w:start w:w="120" w:type="dxa"/>
              <w:bottom w:w="100" w:type="dxa"/>
              <w:end w:w="120" w:type="dxa"/>
            </w:tcMar>
          </w:tcPr>
          <w:p>
            <w:pPr>
              <w:spacing w:after="0" w:line="254" w:lineRule="auto"/>
            </w:pPr>
            <w:r>
              <w:rPr>
                <w:rFonts w:ascii="Arial" w:hAnsi="Arial" w:cs="Arial"/>
                <w:color w:val="000000"/>
                <w:sz w:val="18"/>
              </w:rPr>
              <w:t>Evidência examinada por entidade sem responsabilidade direta pelo resultado avaliado</w:t>
            </w:r>
          </w:p>
        </w:tc>
      </w:tr>
      <w:tr>
        <w:trPr>
          <w:cantSplit w:val="true"/>
        </w:trPr>
        <w:tc>
          <w:tcPr>
            <w:tcW w:type="dxa" w:w="3024"/>
            <w:vAlign w:val="center"/>
            <w:tcMar>
              <w:top w:w="100" w:type="dxa"/>
              <w:start w:w="120" w:type="dxa"/>
              <w:bottom w:w="100" w:type="dxa"/>
              <w:end w:w="120" w:type="dxa"/>
            </w:tcMar>
            <w:shd w:fill="F2F6F9"/>
          </w:tcPr>
          <w:p>
            <w:pPr>
              <w:spacing w:after="0" w:line="254" w:lineRule="auto"/>
            </w:pPr>
            <w:r>
              <w:rPr>
                <w:rFonts w:ascii="Arial" w:hAnsi="Arial" w:cs="Arial"/>
                <w:b/>
                <w:color w:val="000000"/>
                <w:sz w:val="18"/>
              </w:rPr>
              <w:t>Resultado verificado</w:t>
            </w:r>
          </w:p>
        </w:tc>
        <w:tc>
          <w:tcPr>
            <w:tcW w:type="dxa" w:w="6912"/>
            <w:vAlign w:val="center"/>
            <w:tcMar>
              <w:top w:w="100" w:type="dxa"/>
              <w:start w:w="120" w:type="dxa"/>
              <w:bottom w:w="100" w:type="dxa"/>
              <w:end w:w="120" w:type="dxa"/>
            </w:tcMar>
            <w:shd w:fill="F2F6F9"/>
          </w:tcPr>
          <w:p>
            <w:pPr>
              <w:spacing w:after="0" w:line="254" w:lineRule="auto"/>
            </w:pPr>
            <w:r>
              <w:rPr>
                <w:rFonts w:ascii="Arial" w:hAnsi="Arial" w:cs="Arial"/>
                <w:color w:val="000000"/>
                <w:sz w:val="18"/>
              </w:rPr>
              <w:t>Resultado confirmado segundo protocolo publicado, com âmbito, data, limitações e responsável pela verificação</w:t>
            </w:r>
          </w:p>
        </w:tc>
      </w:tr>
    </w:tbl>
    <w:p>
      <w:pPr>
        <w:widowControl/>
        <w:spacing w:after="40"/>
      </w:pPr>
    </w:p>
    <w:p>
      <w:pPr>
        <w:widowControl/>
        <w:spacing w:after="120" w:line="271" w:lineRule="auto"/>
      </w:pPr>
      <w:r>
        <w:rPr>
          <w:rFonts w:ascii="Arial" w:hAnsi="Arial" w:cs="Arial"/>
          <w:color w:val="000000"/>
          <w:sz w:val="21"/>
        </w:rPr>
        <w:t>O Humanity Pact não opera, nesta fase, como organismo de certificação. Uma futura certificação exigiria norma publicada, critérios de competência, independência, recurso e controlo de qualidade próprios.</w:t>
      </w:r>
    </w:p>
    <w:p>
      <w:pPr>
        <w:pStyle w:val="Heading1"/>
        <w:keepNext/>
        <w:widowControl/>
      </w:pPr>
      <w:r>
        <w:t>10 Ecossistema de implementação</w:t>
      </w:r>
    </w:p>
    <w:p>
      <w:pPr>
        <w:widowControl/>
        <w:spacing w:after="120" w:line="271" w:lineRule="auto"/>
      </w:pPr>
      <w:r>
        <w:rPr>
          <w:rFonts w:ascii="Arial" w:hAnsi="Arial" w:cs="Arial"/>
          <w:color w:val="000000"/>
          <w:sz w:val="21"/>
        </w:rPr>
        <w:t>O Humanity Pact integra seis componentes com funções separadas. Esta separação impede que a entidade que define valores, desenvolve indicadores, executa projetos e valida resultados seja sempre a mesma.</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val="true"/>
        </w:trPr>
        <w:tc>
          <w:tcPr>
            <w:tcW w:type="dxa" w:w="2232"/>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Componente</w:t>
            </w:r>
          </w:p>
        </w:tc>
        <w:tc>
          <w:tcPr>
            <w:tcW w:type="dxa" w:w="4392"/>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Função</w:t>
            </w:r>
          </w:p>
        </w:tc>
        <w:tc>
          <w:tcPr>
            <w:tcW w:type="dxa" w:w="3311"/>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Produto principal</w:t>
            </w:r>
          </w:p>
        </w:tc>
      </w:tr>
      <w:tr>
        <w:trPr>
          <w:cantSplit w:val="true"/>
        </w:trPr>
        <w:tc>
          <w:tcPr>
            <w:tcW w:type="dxa" w:w="2232"/>
            <w:vAlign w:val="center"/>
            <w:tcMar>
              <w:top w:w="100" w:type="dxa"/>
              <w:start w:w="120" w:type="dxa"/>
              <w:bottom w:w="100" w:type="dxa"/>
              <w:end w:w="120" w:type="dxa"/>
            </w:tcMar>
          </w:tcPr>
          <w:p>
            <w:pPr>
              <w:spacing w:after="0" w:line="254" w:lineRule="auto"/>
            </w:pPr>
            <w:r>
              <w:rPr>
                <w:rFonts w:ascii="Arial" w:hAnsi="Arial" w:cs="Arial"/>
                <w:b/>
                <w:color w:val="000000"/>
                <w:sz w:val="17"/>
              </w:rPr>
              <w:t>Humanity Pact</w:t>
            </w:r>
          </w:p>
        </w:tc>
        <w:tc>
          <w:tcPr>
            <w:tcW w:type="dxa" w:w="4392"/>
            <w:vAlign w:val="center"/>
            <w:tcMar>
              <w:top w:w="100" w:type="dxa"/>
              <w:start w:w="120" w:type="dxa"/>
              <w:bottom w:w="100" w:type="dxa"/>
              <w:end w:w="120" w:type="dxa"/>
            </w:tcMar>
          </w:tcPr>
          <w:p>
            <w:pPr>
              <w:spacing w:after="0" w:line="254" w:lineRule="auto"/>
            </w:pPr>
            <w:r>
              <w:rPr>
                <w:rFonts w:ascii="Arial" w:hAnsi="Arial" w:cs="Arial"/>
                <w:color w:val="000000"/>
                <w:sz w:val="17"/>
              </w:rPr>
              <w:t>Define valores, princípios, salvaguardas e compromissos</w:t>
            </w:r>
          </w:p>
        </w:tc>
        <w:tc>
          <w:tcPr>
            <w:tcW w:type="dxa" w:w="3311"/>
            <w:vAlign w:val="center"/>
            <w:tcMar>
              <w:top w:w="100" w:type="dxa"/>
              <w:start w:w="120" w:type="dxa"/>
              <w:bottom w:w="100" w:type="dxa"/>
              <w:end w:w="120" w:type="dxa"/>
            </w:tcMar>
          </w:tcPr>
          <w:p>
            <w:pPr>
              <w:spacing w:after="0" w:line="254" w:lineRule="auto"/>
            </w:pPr>
            <w:r>
              <w:rPr>
                <w:rFonts w:ascii="Arial" w:hAnsi="Arial" w:cs="Arial"/>
                <w:color w:val="000000"/>
                <w:sz w:val="17"/>
              </w:rPr>
              <w:t>Documento normativo e modelo de compromisso</w:t>
            </w:r>
          </w:p>
        </w:tc>
      </w:tr>
      <w:tr>
        <w:trPr>
          <w:cantSplit w:val="true"/>
        </w:trPr>
        <w:tc>
          <w:tcPr>
            <w:tcW w:type="dxa" w:w="2232"/>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Humanity Index</w:t>
            </w:r>
          </w:p>
        </w:tc>
        <w:tc>
          <w:tcPr>
            <w:tcW w:type="dxa" w:w="4392"/>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Traduz o Pact em indicadores, regras e análises</w:t>
            </w:r>
          </w:p>
        </w:tc>
        <w:tc>
          <w:tcPr>
            <w:tcW w:type="dxa" w:w="3311"/>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Matriz metodológica e resultados comparáveis</w:t>
            </w:r>
          </w:p>
        </w:tc>
      </w:tr>
      <w:tr>
        <w:trPr>
          <w:cantSplit w:val="true"/>
        </w:trPr>
        <w:tc>
          <w:tcPr>
            <w:tcW w:type="dxa" w:w="2232"/>
            <w:vAlign w:val="center"/>
            <w:tcMar>
              <w:top w:w="100" w:type="dxa"/>
              <w:start w:w="120" w:type="dxa"/>
              <w:bottom w:w="100" w:type="dxa"/>
              <w:end w:w="120" w:type="dxa"/>
            </w:tcMar>
          </w:tcPr>
          <w:p>
            <w:pPr>
              <w:spacing w:after="0" w:line="254" w:lineRule="auto"/>
            </w:pPr>
            <w:r>
              <w:rPr>
                <w:rFonts w:ascii="Arial" w:hAnsi="Arial" w:cs="Arial"/>
                <w:b/>
                <w:color w:val="000000"/>
                <w:sz w:val="17"/>
              </w:rPr>
              <w:t>Humanity Pact Dashboard</w:t>
            </w:r>
          </w:p>
        </w:tc>
        <w:tc>
          <w:tcPr>
            <w:tcW w:type="dxa" w:w="4392"/>
            <w:vAlign w:val="center"/>
            <w:tcMar>
              <w:top w:w="100" w:type="dxa"/>
              <w:start w:w="120" w:type="dxa"/>
              <w:bottom w:w="100" w:type="dxa"/>
              <w:end w:w="120" w:type="dxa"/>
            </w:tcMar>
          </w:tcPr>
          <w:p>
            <w:pPr>
              <w:spacing w:after="0" w:line="254" w:lineRule="auto"/>
            </w:pPr>
            <w:r>
              <w:rPr>
                <w:rFonts w:ascii="Arial" w:hAnsi="Arial" w:cs="Arial"/>
                <w:color w:val="000000"/>
                <w:sz w:val="17"/>
              </w:rPr>
              <w:t>Publica evidência, lacunas, perfis e evolução</w:t>
            </w:r>
          </w:p>
        </w:tc>
        <w:tc>
          <w:tcPr>
            <w:tcW w:type="dxa" w:w="3311"/>
            <w:vAlign w:val="center"/>
            <w:tcMar>
              <w:top w:w="100" w:type="dxa"/>
              <w:start w:w="120" w:type="dxa"/>
              <w:bottom w:w="100" w:type="dxa"/>
              <w:end w:w="120" w:type="dxa"/>
            </w:tcMar>
          </w:tcPr>
          <w:p>
            <w:pPr>
              <w:spacing w:after="0" w:line="254" w:lineRule="auto"/>
            </w:pPr>
            <w:r>
              <w:rPr>
                <w:rFonts w:ascii="Arial" w:hAnsi="Arial" w:cs="Arial"/>
                <w:color w:val="000000"/>
                <w:sz w:val="17"/>
              </w:rPr>
              <w:t>Interface pública de transparência e responsabilização</w:t>
            </w:r>
          </w:p>
        </w:tc>
      </w:tr>
      <w:tr>
        <w:trPr>
          <w:cantSplit w:val="true"/>
        </w:trPr>
        <w:tc>
          <w:tcPr>
            <w:tcW w:type="dxa" w:w="2232"/>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Humanity Labs</w:t>
            </w:r>
          </w:p>
        </w:tc>
        <w:tc>
          <w:tcPr>
            <w:tcW w:type="dxa" w:w="4392"/>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Testa intervenções em contextos reais</w:t>
            </w:r>
          </w:p>
        </w:tc>
        <w:tc>
          <w:tcPr>
            <w:tcW w:type="dxa" w:w="3311"/>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Pilotos, aprendizagem e modelos de implementação</w:t>
            </w:r>
          </w:p>
        </w:tc>
      </w:tr>
      <w:tr>
        <w:trPr>
          <w:cantSplit w:val="true"/>
        </w:trPr>
        <w:tc>
          <w:tcPr>
            <w:tcW w:type="dxa" w:w="2232"/>
            <w:vAlign w:val="center"/>
            <w:tcMar>
              <w:top w:w="100" w:type="dxa"/>
              <w:start w:w="120" w:type="dxa"/>
              <w:bottom w:w="100" w:type="dxa"/>
              <w:end w:w="120" w:type="dxa"/>
            </w:tcMar>
          </w:tcPr>
          <w:p>
            <w:pPr>
              <w:spacing w:after="0" w:line="254" w:lineRule="auto"/>
            </w:pPr>
            <w:r>
              <w:rPr>
                <w:rFonts w:ascii="Arial" w:hAnsi="Arial" w:cs="Arial"/>
                <w:b/>
                <w:color w:val="000000"/>
                <w:sz w:val="17"/>
              </w:rPr>
              <w:t>Humanity Reports</w:t>
            </w:r>
          </w:p>
        </w:tc>
        <w:tc>
          <w:tcPr>
            <w:tcW w:type="dxa" w:w="4392"/>
            <w:vAlign w:val="center"/>
            <w:tcMar>
              <w:top w:w="100" w:type="dxa"/>
              <w:start w:w="120" w:type="dxa"/>
              <w:bottom w:w="100" w:type="dxa"/>
              <w:end w:w="120" w:type="dxa"/>
            </w:tcMar>
          </w:tcPr>
          <w:p>
            <w:pPr>
              <w:spacing w:after="0" w:line="254" w:lineRule="auto"/>
            </w:pPr>
            <w:r>
              <w:rPr>
                <w:rFonts w:ascii="Arial" w:hAnsi="Arial" w:cs="Arial"/>
                <w:color w:val="000000"/>
                <w:sz w:val="17"/>
              </w:rPr>
              <w:t>Regista resultados, falhas, riscos e correções</w:t>
            </w:r>
          </w:p>
        </w:tc>
        <w:tc>
          <w:tcPr>
            <w:tcW w:type="dxa" w:w="3311"/>
            <w:vAlign w:val="center"/>
            <w:tcMar>
              <w:top w:w="100" w:type="dxa"/>
              <w:start w:w="120" w:type="dxa"/>
              <w:bottom w:w="100" w:type="dxa"/>
              <w:end w:w="120" w:type="dxa"/>
            </w:tcMar>
          </w:tcPr>
          <w:p>
            <w:pPr>
              <w:spacing w:after="0" w:line="254" w:lineRule="auto"/>
            </w:pPr>
            <w:r>
              <w:rPr>
                <w:rFonts w:ascii="Arial" w:hAnsi="Arial" w:cs="Arial"/>
                <w:color w:val="000000"/>
                <w:sz w:val="17"/>
              </w:rPr>
              <w:t>Relatórios periódicos independentes ou institucionais</w:t>
            </w:r>
          </w:p>
        </w:tc>
      </w:tr>
      <w:tr>
        <w:trPr>
          <w:cantSplit w:val="true"/>
        </w:trPr>
        <w:tc>
          <w:tcPr>
            <w:tcW w:type="dxa" w:w="2232"/>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Humanity Summit</w:t>
            </w:r>
          </w:p>
        </w:tc>
        <w:tc>
          <w:tcPr>
            <w:tcW w:type="dxa" w:w="4392"/>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Revê prioridades e renova compromissos</w:t>
            </w:r>
          </w:p>
        </w:tc>
        <w:tc>
          <w:tcPr>
            <w:tcW w:type="dxa" w:w="3311"/>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Deliberação pública e agenda de ciclo seguinte</w:t>
            </w:r>
          </w:p>
        </w:tc>
      </w:tr>
    </w:tbl>
    <w:p>
      <w:pPr>
        <w:widowControl/>
        <w:spacing w:after="40"/>
      </w:pPr>
    </w:p>
    <w:p>
      <w:pPr>
        <w:widowControl/>
        <w:spacing w:after="120" w:line="271" w:lineRule="auto"/>
      </w:pPr>
      <w:r>
        <w:rPr>
          <w:rFonts w:ascii="Arial" w:hAnsi="Arial" w:cs="Arial"/>
          <w:color w:val="000000"/>
          <w:sz w:val="21"/>
        </w:rPr>
        <w:t xml:space="preserve">O ciclo comum é </w:t>
      </w:r>
      <w:r>
        <w:rPr>
          <w:rFonts w:ascii="Arial" w:hAnsi="Arial" w:cs="Arial"/>
          <w:b/>
          <w:color w:val="000000"/>
          <w:sz w:val="21"/>
        </w:rPr>
        <w:t>cocriar, definir a linha de base, decidir, agir, medir, prestar contas, corrigir e renovar</w:t>
      </w:r>
      <w:r>
        <w:rPr>
          <w:rFonts w:ascii="Arial" w:hAnsi="Arial" w:cs="Arial"/>
          <w:color w:val="000000"/>
          <w:sz w:val="21"/>
        </w:rPr>
        <w:t>. Cada etapa deixa um registo público ou protegido, conforme a natureza da informação.</w:t>
      </w:r>
    </w:p>
    <w:p>
      <w:pPr>
        <w:pStyle w:val="Heading1"/>
        <w:keepNext/>
        <w:widowControl/>
      </w:pPr>
      <w:r>
        <w:t>11 Ciclo de implementação</w:t>
      </w:r>
    </w:p>
    <w:p>
      <w:pPr>
        <w:pStyle w:val="Heading2"/>
        <w:keepNext/>
        <w:widowControl/>
      </w:pPr>
      <w:r>
        <w:t>11.1 Cocriar</w:t>
      </w:r>
    </w:p>
    <w:p>
      <w:pPr>
        <w:widowControl/>
        <w:spacing w:after="120" w:line="271" w:lineRule="auto"/>
      </w:pPr>
      <w:r>
        <w:rPr>
          <w:rFonts w:ascii="Arial" w:hAnsi="Arial" w:cs="Arial"/>
          <w:color w:val="000000"/>
          <w:sz w:val="21"/>
        </w:rPr>
        <w:t>Titulares de direitos, comunidades afetadas, responsáveis públicos ou institucionais, especialistas e sociedade civil definem o problema, o âmbito e as prioridades. A participação começa antes da seleção final dos indicadores.</w:t>
      </w:r>
    </w:p>
    <w:p>
      <w:pPr>
        <w:pStyle w:val="Heading2"/>
        <w:keepNext/>
        <w:widowControl/>
      </w:pPr>
      <w:r>
        <w:t>11.2 Estabelecer a linha de base</w:t>
      </w:r>
    </w:p>
    <w:p>
      <w:pPr>
        <w:widowControl/>
        <w:spacing w:after="120" w:line="271" w:lineRule="auto"/>
      </w:pPr>
      <w:r>
        <w:rPr>
          <w:rFonts w:ascii="Arial" w:hAnsi="Arial" w:cs="Arial"/>
          <w:color w:val="000000"/>
          <w:sz w:val="21"/>
        </w:rPr>
        <w:t>A entidade documenta a situação inicial, desigualdades, danos conhecidos, cobertura dos dados, lacunas e obrigações aplicáveis. Quando a linha de base é insuficiente, essa limitação permanece explícita.</w:t>
      </w:r>
    </w:p>
    <w:p>
      <w:pPr>
        <w:pStyle w:val="Heading2"/>
        <w:keepNext/>
        <w:widowControl/>
      </w:pPr>
      <w:r>
        <w:t>11.3 Definir compromissos e meios</w:t>
      </w:r>
    </w:p>
    <w:p>
      <w:pPr>
        <w:widowControl/>
        <w:spacing w:after="120" w:line="271" w:lineRule="auto"/>
      </w:pPr>
      <w:r>
        <w:rPr>
          <w:rFonts w:ascii="Arial" w:hAnsi="Arial" w:cs="Arial"/>
          <w:color w:val="000000"/>
          <w:sz w:val="21"/>
        </w:rPr>
        <w:t>Cada compromisso recebe uma meta, prazo, responsável, recursos, população ou território abrangido, indicadores e condições de revisão.</w:t>
      </w:r>
    </w:p>
    <w:p>
      <w:pPr>
        <w:pStyle w:val="Heading2"/>
        <w:keepNext/>
        <w:widowControl/>
      </w:pPr>
      <w:r>
        <w:t>11.4 Agir</w:t>
      </w:r>
    </w:p>
    <w:p>
      <w:pPr>
        <w:widowControl/>
        <w:spacing w:after="120" w:line="271" w:lineRule="auto"/>
      </w:pPr>
      <w:r>
        <w:rPr>
          <w:rFonts w:ascii="Arial" w:hAnsi="Arial" w:cs="Arial"/>
          <w:color w:val="000000"/>
          <w:sz w:val="21"/>
        </w:rPr>
        <w:t>A entidade executa políticas, investimento, reforma institucional, serviços ou outras intervenções e regista alterações materiais ao plano.</w:t>
      </w:r>
    </w:p>
    <w:p>
      <w:pPr>
        <w:pStyle w:val="Heading2"/>
        <w:keepNext/>
        <w:widowControl/>
      </w:pPr>
      <w:r>
        <w:t>11.5 Medir e interpretar</w:t>
      </w:r>
    </w:p>
    <w:p>
      <w:pPr>
        <w:widowControl/>
        <w:spacing w:after="120" w:line="271" w:lineRule="auto"/>
      </w:pPr>
      <w:r>
        <w:rPr>
          <w:rFonts w:ascii="Arial" w:hAnsi="Arial" w:cs="Arial"/>
          <w:color w:val="000000"/>
          <w:sz w:val="21"/>
        </w:rPr>
        <w:t>O Humanity Index combina dados quantitativos, evidência qualitativa e interpretação comunitária. A análise mostra resultados, distribuição, incerteza, possíveis efeitos não pretendidos e explicações alternativas.</w:t>
      </w:r>
    </w:p>
    <w:p>
      <w:pPr>
        <w:pStyle w:val="Heading2"/>
        <w:keepNext/>
        <w:widowControl/>
      </w:pPr>
      <w:r>
        <w:t>11.6 Prestar contas e corrigir</w:t>
      </w:r>
    </w:p>
    <w:p>
      <w:pPr>
        <w:widowControl/>
        <w:spacing w:after="120" w:line="271" w:lineRule="auto"/>
      </w:pPr>
      <w:r>
        <w:rPr>
          <w:rFonts w:ascii="Arial" w:hAnsi="Arial" w:cs="Arial"/>
          <w:color w:val="000000"/>
          <w:sz w:val="21"/>
        </w:rPr>
        <w:t>Os relatórios identificam progressos, falhas, atrasos, responsáveis, recursos utilizados e medidas corretivas. As reclamações recebem resposta dentro de prazos publicados.</w:t>
      </w:r>
    </w:p>
    <w:p>
      <w:pPr>
        <w:pStyle w:val="Heading2"/>
        <w:keepNext/>
        <w:widowControl/>
      </w:pPr>
      <w:r>
        <w:t>11.7 Renovar</w:t>
      </w:r>
    </w:p>
    <w:p>
      <w:pPr>
        <w:widowControl/>
        <w:spacing w:after="120" w:line="271" w:lineRule="auto"/>
      </w:pPr>
      <w:r>
        <w:rPr>
          <w:rFonts w:ascii="Arial" w:hAnsi="Arial" w:cs="Arial"/>
          <w:color w:val="000000"/>
          <w:sz w:val="21"/>
        </w:rPr>
        <w:t>As prioridades e a metodologia são revistas periodicamente. Alterações materiais devem ter motivo, data, responsável, consulta e histórico de versões.</w:t>
      </w:r>
    </w:p>
    <w:p>
      <w:pPr>
        <w:pStyle w:val="Heading1"/>
        <w:keepNext/>
        <w:widowControl/>
      </w:pPr>
      <w:r>
        <w:t>12 Humanity Index e Dashboard</w:t>
      </w:r>
    </w:p>
    <w:p>
      <w:pPr>
        <w:pStyle w:val="Heading2"/>
        <w:keepNext/>
        <w:widowControl/>
      </w:pPr>
      <w:r>
        <w:t>12.1 Função do Humanity Index</w:t>
      </w:r>
    </w:p>
    <w:p>
      <w:pPr>
        <w:widowControl/>
        <w:spacing w:after="120" w:line="271" w:lineRule="auto"/>
      </w:pPr>
      <w:r>
        <w:rPr>
          <w:rFonts w:ascii="Arial" w:hAnsi="Arial" w:cs="Arial"/>
          <w:color w:val="000000"/>
          <w:sz w:val="21"/>
        </w:rPr>
        <w:t>O Humanity Index traduz o Humanity Pact numa matriz de indicadores e regras de avaliação. A sua metodologia deve ser validada de forma independente antes de qualquer alegação de robustez científica.</w:t>
      </w:r>
    </w:p>
    <w:p>
      <w:pPr>
        <w:widowControl/>
        <w:spacing w:after="120" w:line="271" w:lineRule="auto"/>
      </w:pPr>
      <w:r>
        <w:rPr>
          <w:rFonts w:ascii="Arial" w:hAnsi="Arial" w:cs="Arial"/>
          <w:color w:val="000000"/>
          <w:sz w:val="21"/>
        </w:rPr>
        <w:t>O núcleo metodológico deve:</w:t>
      </w:r>
    </w:p>
    <w:p>
      <w:pPr>
        <w:pStyle w:val="ListBullet"/>
        <w:widowControl/>
        <w:spacing w:after="64" w:line="271" w:lineRule="auto"/>
        <w:ind w:left="374" w:hanging="230"/>
      </w:pPr>
      <w:r>
        <w:rPr>
          <w:rFonts w:ascii="Arial" w:hAnsi="Arial" w:cs="Arial"/>
          <w:color w:val="000000"/>
          <w:sz w:val="21"/>
        </w:rPr>
        <w:t>Mapear cada indicador a um pilar, garantia, população, território, fonte e período.</w:t>
      </w:r>
    </w:p>
    <w:p>
      <w:pPr>
        <w:pStyle w:val="ListBullet"/>
        <w:widowControl/>
        <w:spacing w:after="64" w:line="271" w:lineRule="auto"/>
        <w:ind w:left="374" w:hanging="230"/>
      </w:pPr>
      <w:r>
        <w:rPr>
          <w:rFonts w:ascii="Arial" w:hAnsi="Arial" w:cs="Arial"/>
          <w:color w:val="000000"/>
          <w:sz w:val="21"/>
        </w:rPr>
        <w:t>Distinguir resultados, processos, compromissos e capacidades institucionais.</w:t>
      </w:r>
    </w:p>
    <w:p>
      <w:pPr>
        <w:pStyle w:val="ListBullet"/>
        <w:widowControl/>
        <w:spacing w:after="64" w:line="271" w:lineRule="auto"/>
        <w:ind w:left="374" w:hanging="230"/>
      </w:pPr>
      <w:r>
        <w:rPr>
          <w:rFonts w:ascii="Arial" w:hAnsi="Arial" w:cs="Arial"/>
          <w:color w:val="000000"/>
          <w:sz w:val="21"/>
        </w:rPr>
        <w:t>Separar um núcleo universal de módulos específicos de contexto.</w:t>
      </w:r>
    </w:p>
    <w:p>
      <w:pPr>
        <w:pStyle w:val="ListBullet"/>
        <w:widowControl/>
        <w:spacing w:after="64" w:line="271" w:lineRule="auto"/>
        <w:ind w:left="374" w:hanging="230"/>
      </w:pPr>
      <w:r>
        <w:rPr>
          <w:rFonts w:ascii="Arial" w:hAnsi="Arial" w:cs="Arial"/>
          <w:color w:val="000000"/>
          <w:sz w:val="21"/>
        </w:rPr>
        <w:t>Utilizar desagregação e análise interseccional quando legal e segura.</w:t>
      </w:r>
    </w:p>
    <w:p>
      <w:pPr>
        <w:pStyle w:val="ListBullet"/>
        <w:widowControl/>
        <w:spacing w:after="64" w:line="271" w:lineRule="auto"/>
        <w:ind w:left="374" w:hanging="230"/>
      </w:pPr>
      <w:r>
        <w:rPr>
          <w:rFonts w:ascii="Arial" w:hAnsi="Arial" w:cs="Arial"/>
          <w:color w:val="000000"/>
          <w:sz w:val="21"/>
        </w:rPr>
        <w:t>Classificar cobertura, atualidade, comparabilidade e qualidade dos dados.</w:t>
      </w:r>
    </w:p>
    <w:p>
      <w:pPr>
        <w:pStyle w:val="ListBullet"/>
        <w:widowControl/>
        <w:spacing w:after="64" w:line="271" w:lineRule="auto"/>
        <w:ind w:left="374" w:hanging="230"/>
      </w:pPr>
      <w:r>
        <w:rPr>
          <w:rFonts w:ascii="Arial" w:hAnsi="Arial" w:cs="Arial"/>
          <w:color w:val="000000"/>
          <w:sz w:val="21"/>
        </w:rPr>
        <w:t>Publicar regras de normalização, ponderação, imputação e sensibilidade.</w:t>
      </w:r>
    </w:p>
    <w:p>
      <w:pPr>
        <w:pStyle w:val="ListBullet"/>
        <w:widowControl/>
        <w:spacing w:after="64" w:line="271" w:lineRule="auto"/>
        <w:ind w:left="374" w:hanging="230"/>
      </w:pPr>
      <w:r>
        <w:rPr>
          <w:rFonts w:ascii="Arial" w:hAnsi="Arial" w:cs="Arial"/>
          <w:color w:val="000000"/>
          <w:sz w:val="21"/>
        </w:rPr>
        <w:t>Aplicar os limiares não compensáveis antes de qualquer resultado agregado.</w:t>
      </w:r>
    </w:p>
    <w:p>
      <w:pPr>
        <w:pStyle w:val="ListBullet"/>
        <w:widowControl/>
        <w:spacing w:after="64" w:line="271" w:lineRule="auto"/>
        <w:ind w:left="374" w:hanging="230"/>
      </w:pPr>
      <w:r>
        <w:rPr>
          <w:rFonts w:ascii="Arial" w:hAnsi="Arial" w:cs="Arial"/>
          <w:color w:val="000000"/>
          <w:sz w:val="21"/>
        </w:rPr>
        <w:t>Distinguir evolução ao longo do tempo de posição num determinado momento.</w:t>
      </w:r>
    </w:p>
    <w:p>
      <w:pPr>
        <w:pStyle w:val="ListBullet"/>
        <w:widowControl/>
        <w:spacing w:after="64" w:line="271" w:lineRule="auto"/>
        <w:ind w:left="374" w:hanging="230"/>
      </w:pPr>
      <w:r>
        <w:rPr>
          <w:rFonts w:ascii="Arial" w:hAnsi="Arial" w:cs="Arial"/>
          <w:color w:val="000000"/>
          <w:sz w:val="21"/>
        </w:rPr>
        <w:t>Mostrar incerteza e evitar rankings quando a comparabilidade seja insuficiente.</w:t>
      </w:r>
    </w:p>
    <w:p>
      <w:pPr>
        <w:pStyle w:val="Heading2"/>
        <w:keepNext/>
        <w:widowControl/>
      </w:pPr>
      <w:r>
        <w:t>12.2 Função do Dashboard</w:t>
      </w:r>
    </w:p>
    <w:p>
      <w:pPr>
        <w:widowControl/>
        <w:spacing w:after="120" w:line="271" w:lineRule="auto"/>
      </w:pPr>
      <w:r>
        <w:rPr>
          <w:rFonts w:ascii="Arial" w:hAnsi="Arial" w:cs="Arial"/>
          <w:color w:val="000000"/>
          <w:sz w:val="21"/>
        </w:rPr>
        <w:t xml:space="preserve">O Humanity Pact Dashboard será uma </w:t>
      </w:r>
      <w:r>
        <w:rPr>
          <w:rFonts w:ascii="Arial" w:hAnsi="Arial" w:cs="Arial"/>
          <w:b/>
          <w:color w:val="000000"/>
          <w:sz w:val="21"/>
        </w:rPr>
        <w:t>plataforma única</w:t>
      </w:r>
      <w:r>
        <w:rPr>
          <w:rFonts w:ascii="Arial" w:hAnsi="Arial" w:cs="Arial"/>
          <w:color w:val="000000"/>
          <w:sz w:val="21"/>
        </w:rPr>
        <w:t>, com duas áreas funcionais claramente identificadas. A área Pact apresentará princípios, compromissos, aderentes, planos de ação e prestação de contas. A área Index apresentará indicadores, pontuações, desigualdades, qualidade dos dados, metodologia e estado de validação. O registo de evidências, os perfis institucionais, o histórico de versões e os mecanismos de verificação serão comuns às duas áreas.</w:t>
      </w:r>
    </w:p>
    <w:p>
      <w:pPr>
        <w:widowControl/>
        <w:spacing w:after="120" w:line="271" w:lineRule="auto"/>
      </w:pPr>
      <w:r>
        <w:rPr>
          <w:rFonts w:ascii="Arial" w:hAnsi="Arial" w:cs="Arial"/>
          <w:color w:val="000000"/>
          <w:sz w:val="21"/>
        </w:rPr>
        <w:t>Esta arquitetura evita duplicação e mantém a diferença de função: o Humanity Pact define os compromissos, o Humanity Index mede a mudança e o Dashboard publica a evidência. A interface deve apresentar resultados e compromissos sem transformar comunicação institucional em prova. Cada perfil deve conter informação suficiente para que o público compreenda o âmbito, a evidência e a possibilidade de contestação.</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rPr>
          <w:tblHeader w:val="true"/>
          <w:cantSplit w:val="true"/>
        </w:trPr>
        <w:tc>
          <w:tcPr>
            <w:tcW w:type="dxa" w:w="3311"/>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Campo obrigatório</w:t>
            </w:r>
          </w:p>
        </w:tc>
        <w:tc>
          <w:tcPr>
            <w:tcW w:type="dxa" w:w="6623"/>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Finalidade</w:t>
            </w:r>
          </w:p>
        </w:tc>
      </w:tr>
      <w:tr>
        <w:trPr>
          <w:cantSplit w:val="true"/>
        </w:trPr>
        <w:tc>
          <w:tcPr>
            <w:tcW w:type="dxa" w:w="3311"/>
            <w:vAlign w:val="center"/>
            <w:tcMar>
              <w:top w:w="100" w:type="dxa"/>
              <w:start w:w="120" w:type="dxa"/>
              <w:bottom w:w="100" w:type="dxa"/>
              <w:end w:w="120" w:type="dxa"/>
            </w:tcMar>
          </w:tcPr>
          <w:p>
            <w:pPr>
              <w:spacing w:after="0" w:line="254" w:lineRule="auto"/>
            </w:pPr>
            <w:r>
              <w:rPr>
                <w:rFonts w:ascii="Arial" w:hAnsi="Arial" w:cs="Arial"/>
                <w:b/>
                <w:color w:val="000000"/>
                <w:sz w:val="17"/>
              </w:rPr>
              <w:t>Entidade e responsável</w:t>
            </w:r>
          </w:p>
        </w:tc>
        <w:tc>
          <w:tcPr>
            <w:tcW w:type="dxa" w:w="6623"/>
            <w:vAlign w:val="center"/>
            <w:tcMar>
              <w:top w:w="100" w:type="dxa"/>
              <w:start w:w="120" w:type="dxa"/>
              <w:bottom w:w="100" w:type="dxa"/>
              <w:end w:w="120" w:type="dxa"/>
            </w:tcMar>
          </w:tcPr>
          <w:p>
            <w:pPr>
              <w:spacing w:after="0" w:line="254" w:lineRule="auto"/>
            </w:pPr>
            <w:r>
              <w:rPr>
                <w:rFonts w:ascii="Arial" w:hAnsi="Arial" w:cs="Arial"/>
                <w:color w:val="000000"/>
                <w:sz w:val="17"/>
              </w:rPr>
              <w:t>Identificar quem assume o compromisso e quem responde pela execução</w:t>
            </w:r>
          </w:p>
        </w:tc>
      </w:tr>
      <w:tr>
        <w:trPr>
          <w:cantSplit w:val="true"/>
        </w:trPr>
        <w:tc>
          <w:tcPr>
            <w:tcW w:type="dxa" w:w="3311"/>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Âmbito</w:t>
            </w:r>
          </w:p>
        </w:tc>
        <w:tc>
          <w:tcPr>
            <w:tcW w:type="dxa" w:w="6623"/>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Definir política, programa, território, população, cadeia de valor ou operação abrangida</w:t>
            </w:r>
          </w:p>
        </w:tc>
      </w:tr>
      <w:tr>
        <w:trPr>
          <w:cantSplit w:val="true"/>
        </w:trPr>
        <w:tc>
          <w:tcPr>
            <w:tcW w:type="dxa" w:w="3311"/>
            <w:vAlign w:val="center"/>
            <w:tcMar>
              <w:top w:w="100" w:type="dxa"/>
              <w:start w:w="120" w:type="dxa"/>
              <w:bottom w:w="100" w:type="dxa"/>
              <w:end w:w="120" w:type="dxa"/>
            </w:tcMar>
          </w:tcPr>
          <w:p>
            <w:pPr>
              <w:spacing w:after="0" w:line="254" w:lineRule="auto"/>
            </w:pPr>
            <w:r>
              <w:rPr>
                <w:rFonts w:ascii="Arial" w:hAnsi="Arial" w:cs="Arial"/>
                <w:b/>
                <w:color w:val="000000"/>
                <w:sz w:val="17"/>
              </w:rPr>
              <w:t>Linha de base</w:t>
            </w:r>
          </w:p>
        </w:tc>
        <w:tc>
          <w:tcPr>
            <w:tcW w:type="dxa" w:w="6623"/>
            <w:vAlign w:val="center"/>
            <w:tcMar>
              <w:top w:w="100" w:type="dxa"/>
              <w:start w:w="120" w:type="dxa"/>
              <w:bottom w:w="100" w:type="dxa"/>
              <w:end w:w="120" w:type="dxa"/>
            </w:tcMar>
          </w:tcPr>
          <w:p>
            <w:pPr>
              <w:spacing w:after="0" w:line="254" w:lineRule="auto"/>
            </w:pPr>
            <w:r>
              <w:rPr>
                <w:rFonts w:ascii="Arial" w:hAnsi="Arial" w:cs="Arial"/>
                <w:color w:val="000000"/>
                <w:sz w:val="17"/>
              </w:rPr>
              <w:t>Estabelecer a situação inicial e a data de referência</w:t>
            </w:r>
          </w:p>
        </w:tc>
      </w:tr>
      <w:tr>
        <w:trPr>
          <w:cantSplit w:val="true"/>
        </w:trPr>
        <w:tc>
          <w:tcPr>
            <w:tcW w:type="dxa" w:w="3311"/>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Meta e prazo</w:t>
            </w:r>
          </w:p>
        </w:tc>
        <w:tc>
          <w:tcPr>
            <w:tcW w:type="dxa" w:w="6623"/>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Permitir uma avaliação objetiva da execução</w:t>
            </w:r>
          </w:p>
        </w:tc>
      </w:tr>
      <w:tr>
        <w:trPr>
          <w:cantSplit w:val="true"/>
        </w:trPr>
        <w:tc>
          <w:tcPr>
            <w:tcW w:type="dxa" w:w="3311"/>
            <w:vAlign w:val="center"/>
            <w:tcMar>
              <w:top w:w="100" w:type="dxa"/>
              <w:start w:w="120" w:type="dxa"/>
              <w:bottom w:w="100" w:type="dxa"/>
              <w:end w:w="120" w:type="dxa"/>
            </w:tcMar>
          </w:tcPr>
          <w:p>
            <w:pPr>
              <w:spacing w:after="0" w:line="254" w:lineRule="auto"/>
            </w:pPr>
            <w:r>
              <w:rPr>
                <w:rFonts w:ascii="Arial" w:hAnsi="Arial" w:cs="Arial"/>
                <w:b/>
                <w:color w:val="000000"/>
                <w:sz w:val="17"/>
              </w:rPr>
              <w:t>Pilares e garantias</w:t>
            </w:r>
          </w:p>
        </w:tc>
        <w:tc>
          <w:tcPr>
            <w:tcW w:type="dxa" w:w="6623"/>
            <w:vAlign w:val="center"/>
            <w:tcMar>
              <w:top w:w="100" w:type="dxa"/>
              <w:start w:w="120" w:type="dxa"/>
              <w:bottom w:w="100" w:type="dxa"/>
              <w:end w:w="120" w:type="dxa"/>
            </w:tcMar>
          </w:tcPr>
          <w:p>
            <w:pPr>
              <w:spacing w:after="0" w:line="254" w:lineRule="auto"/>
            </w:pPr>
            <w:r>
              <w:rPr>
                <w:rFonts w:ascii="Arial" w:hAnsi="Arial" w:cs="Arial"/>
                <w:color w:val="000000"/>
                <w:sz w:val="17"/>
              </w:rPr>
              <w:t>Explicitar a relação com a arquitetura do Pact</w:t>
            </w:r>
          </w:p>
        </w:tc>
      </w:tr>
      <w:tr>
        <w:trPr>
          <w:cantSplit w:val="true"/>
        </w:trPr>
        <w:tc>
          <w:tcPr>
            <w:tcW w:type="dxa" w:w="3311"/>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Titulares de direitos e grupos em risco</w:t>
            </w:r>
          </w:p>
        </w:tc>
        <w:tc>
          <w:tcPr>
            <w:tcW w:type="dxa" w:w="6623"/>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Identificar quem pode beneficiar, suportar custos ou permanecer excluído</w:t>
            </w:r>
          </w:p>
        </w:tc>
      </w:tr>
      <w:tr>
        <w:trPr>
          <w:cantSplit w:val="true"/>
        </w:trPr>
        <w:tc>
          <w:tcPr>
            <w:tcW w:type="dxa" w:w="3311"/>
            <w:vAlign w:val="center"/>
            <w:tcMar>
              <w:top w:w="100" w:type="dxa"/>
              <w:start w:w="120" w:type="dxa"/>
              <w:bottom w:w="100" w:type="dxa"/>
              <w:end w:w="120" w:type="dxa"/>
            </w:tcMar>
          </w:tcPr>
          <w:p>
            <w:pPr>
              <w:spacing w:after="0" w:line="254" w:lineRule="auto"/>
            </w:pPr>
            <w:r>
              <w:rPr>
                <w:rFonts w:ascii="Arial" w:hAnsi="Arial" w:cs="Arial"/>
                <w:b/>
                <w:color w:val="000000"/>
                <w:sz w:val="17"/>
              </w:rPr>
              <w:t>Recursos</w:t>
            </w:r>
          </w:p>
        </w:tc>
        <w:tc>
          <w:tcPr>
            <w:tcW w:type="dxa" w:w="6623"/>
            <w:vAlign w:val="center"/>
            <w:tcMar>
              <w:top w:w="100" w:type="dxa"/>
              <w:start w:w="120" w:type="dxa"/>
              <w:bottom w:w="100" w:type="dxa"/>
              <w:end w:w="120" w:type="dxa"/>
            </w:tcMar>
          </w:tcPr>
          <w:p>
            <w:pPr>
              <w:spacing w:after="0" w:line="254" w:lineRule="auto"/>
            </w:pPr>
            <w:r>
              <w:rPr>
                <w:rFonts w:ascii="Arial" w:hAnsi="Arial" w:cs="Arial"/>
                <w:color w:val="000000"/>
                <w:sz w:val="17"/>
              </w:rPr>
              <w:t>Publicar financiamento, capacidades e responsabilidades comprometidas</w:t>
            </w:r>
          </w:p>
        </w:tc>
      </w:tr>
      <w:tr>
        <w:trPr>
          <w:cantSplit w:val="true"/>
        </w:trPr>
        <w:tc>
          <w:tcPr>
            <w:tcW w:type="dxa" w:w="3311"/>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Indicadores e fontes</w:t>
            </w:r>
          </w:p>
        </w:tc>
        <w:tc>
          <w:tcPr>
            <w:tcW w:type="dxa" w:w="6623"/>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Tornar a medição rastreável e atualizável</w:t>
            </w:r>
          </w:p>
        </w:tc>
      </w:tr>
      <w:tr>
        <w:trPr>
          <w:cantSplit w:val="true"/>
        </w:trPr>
        <w:tc>
          <w:tcPr>
            <w:tcW w:type="dxa" w:w="3311"/>
            <w:vAlign w:val="center"/>
            <w:tcMar>
              <w:top w:w="100" w:type="dxa"/>
              <w:start w:w="120" w:type="dxa"/>
              <w:bottom w:w="100" w:type="dxa"/>
              <w:end w:w="120" w:type="dxa"/>
            </w:tcMar>
          </w:tcPr>
          <w:p>
            <w:pPr>
              <w:spacing w:after="0" w:line="254" w:lineRule="auto"/>
            </w:pPr>
            <w:r>
              <w:rPr>
                <w:rFonts w:ascii="Arial" w:hAnsi="Arial" w:cs="Arial"/>
                <w:b/>
                <w:color w:val="000000"/>
                <w:sz w:val="17"/>
              </w:rPr>
              <w:t>Estado da evidência</w:t>
            </w:r>
          </w:p>
        </w:tc>
        <w:tc>
          <w:tcPr>
            <w:tcW w:type="dxa" w:w="6623"/>
            <w:vAlign w:val="center"/>
            <w:tcMar>
              <w:top w:w="100" w:type="dxa"/>
              <w:start w:w="120" w:type="dxa"/>
              <w:bottom w:w="100" w:type="dxa"/>
              <w:end w:w="120" w:type="dxa"/>
            </w:tcMar>
          </w:tcPr>
          <w:p>
            <w:pPr>
              <w:spacing w:after="0" w:line="254" w:lineRule="auto"/>
            </w:pPr>
            <w:r>
              <w:rPr>
                <w:rFonts w:ascii="Arial" w:hAnsi="Arial" w:cs="Arial"/>
                <w:color w:val="000000"/>
                <w:sz w:val="17"/>
              </w:rPr>
              <w:t>Distinguir declaração, documentação, revisão e verificação</w:t>
            </w:r>
          </w:p>
        </w:tc>
      </w:tr>
      <w:tr>
        <w:trPr>
          <w:cantSplit w:val="true"/>
        </w:trPr>
        <w:tc>
          <w:tcPr>
            <w:tcW w:type="dxa" w:w="3311"/>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Resultados e desigualdades</w:t>
            </w:r>
          </w:p>
        </w:tc>
        <w:tc>
          <w:tcPr>
            <w:tcW w:type="dxa" w:w="6623"/>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Mostrar médias, distribuição, lacunas e efeitos não pretendidos</w:t>
            </w:r>
          </w:p>
        </w:tc>
      </w:tr>
      <w:tr>
        <w:trPr>
          <w:cantSplit w:val="true"/>
        </w:trPr>
        <w:tc>
          <w:tcPr>
            <w:tcW w:type="dxa" w:w="3311"/>
            <w:vAlign w:val="center"/>
            <w:tcMar>
              <w:top w:w="100" w:type="dxa"/>
              <w:start w:w="120" w:type="dxa"/>
              <w:bottom w:w="100" w:type="dxa"/>
              <w:end w:w="120" w:type="dxa"/>
            </w:tcMar>
          </w:tcPr>
          <w:p>
            <w:pPr>
              <w:spacing w:after="0" w:line="254" w:lineRule="auto"/>
            </w:pPr>
            <w:r>
              <w:rPr>
                <w:rFonts w:ascii="Arial" w:hAnsi="Arial" w:cs="Arial"/>
                <w:b/>
                <w:color w:val="000000"/>
                <w:sz w:val="17"/>
              </w:rPr>
              <w:t>Reclamação e reparação</w:t>
            </w:r>
          </w:p>
        </w:tc>
        <w:tc>
          <w:tcPr>
            <w:tcW w:type="dxa" w:w="6623"/>
            <w:vAlign w:val="center"/>
            <w:tcMar>
              <w:top w:w="100" w:type="dxa"/>
              <w:start w:w="120" w:type="dxa"/>
              <w:bottom w:w="100" w:type="dxa"/>
              <w:end w:w="120" w:type="dxa"/>
            </w:tcMar>
          </w:tcPr>
          <w:p>
            <w:pPr>
              <w:spacing w:after="0" w:line="254" w:lineRule="auto"/>
            </w:pPr>
            <w:r>
              <w:rPr>
                <w:rFonts w:ascii="Arial" w:hAnsi="Arial" w:cs="Arial"/>
                <w:color w:val="000000"/>
                <w:sz w:val="17"/>
              </w:rPr>
              <w:t>Indicar como uma pessoa ou comunidade pode contestar, obter resposta e procurar correção</w:t>
            </w:r>
          </w:p>
        </w:tc>
      </w:tr>
      <w:tr>
        <w:trPr>
          <w:cantSplit w:val="true"/>
        </w:trPr>
        <w:tc>
          <w:tcPr>
            <w:tcW w:type="dxa" w:w="3311"/>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Histórico de versões</w:t>
            </w:r>
          </w:p>
        </w:tc>
        <w:tc>
          <w:tcPr>
            <w:tcW w:type="dxa" w:w="6623"/>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Registar alterações, datas, responsáveis e motivos</w:t>
            </w:r>
          </w:p>
        </w:tc>
      </w:tr>
    </w:tbl>
    <w:p>
      <w:pPr>
        <w:widowControl/>
        <w:spacing w:after="40"/>
      </w:pPr>
    </w:p>
    <w:p>
      <w:pPr>
        <w:pStyle w:val="Heading2"/>
        <w:keepNext/>
        <w:widowControl/>
      </w:pPr>
      <w:r>
        <w:t>12.3 Governação da metodologia</w:t>
      </w:r>
    </w:p>
    <w:p>
      <w:pPr>
        <w:widowControl/>
        <w:spacing w:after="120" w:line="271" w:lineRule="auto"/>
      </w:pPr>
      <w:r>
        <w:rPr>
          <w:rFonts w:ascii="Arial" w:hAnsi="Arial" w:cs="Arial"/>
          <w:color w:val="000000"/>
          <w:sz w:val="21"/>
        </w:rPr>
        <w:t>Alterações aos pilares ou às garantias exigem aprovação institucional. Alterações a indicadores, pesos, fontes e métodos devem seguir um protocolo publicado de revisão técnica, teste, consulta e registo de versões. Recomendações científicas externas são independentes e não vinculativas; a decisão de adoção permanece com a Humanity Pact Alliance.</w:t>
      </w:r>
    </w:p>
    <w:p>
      <w:pPr>
        <w:pStyle w:val="Heading1"/>
        <w:keepNext/>
        <w:pageBreakBefore/>
        <w:widowControl/>
      </w:pPr>
      <w:r>
        <w:t>13 Governação do Humanity Pact</w:t>
      </w:r>
    </w:p>
    <w:p>
      <w:pPr>
        <w:widowControl/>
        <w:spacing w:after="120" w:line="271" w:lineRule="auto"/>
      </w:pPr>
      <w:r>
        <w:rPr>
          <w:rFonts w:ascii="Arial" w:hAnsi="Arial" w:cs="Arial"/>
          <w:color w:val="000000"/>
          <w:sz w:val="21"/>
        </w:rPr>
        <w:t>A governação deve separar direção institucional, autoria intelectual, desenvolvimento técnico, implementação e validação. Os órgãos e funções podem adaptar-se à dimensão da iniciativa, mas as responsabilidades e conflitos não podem permanecer indefinidos.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val="true"/>
        </w:trPr>
        <w:tc>
          <w:tcPr>
            <w:tcW w:type="dxa" w:w="2376"/>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Estrutura</w:t>
            </w:r>
          </w:p>
        </w:tc>
        <w:tc>
          <w:tcPr>
            <w:tcW w:type="dxa" w:w="4320"/>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Responsabilidade principal</w:t>
            </w:r>
          </w:p>
        </w:tc>
        <w:tc>
          <w:tcPr>
            <w:tcW w:type="dxa" w:w="3240"/>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Limite de autoridade</w:t>
            </w:r>
          </w:p>
        </w:tc>
      </w:tr>
      <w:tr>
        <w:trPr>
          <w:cantSplit w:val="true"/>
        </w:trPr>
        <w:tc>
          <w:tcPr>
            <w:tcW w:type="dxa" w:w="2376"/>
            <w:vAlign w:val="center"/>
            <w:tcMar>
              <w:top w:w="100" w:type="dxa"/>
              <w:start w:w="120" w:type="dxa"/>
              <w:bottom w:w="100" w:type="dxa"/>
              <w:end w:w="120" w:type="dxa"/>
            </w:tcMar>
          </w:tcPr>
          <w:p>
            <w:pPr>
              <w:spacing w:after="0" w:line="254" w:lineRule="auto"/>
            </w:pPr>
            <w:r>
              <w:rPr>
                <w:rFonts w:ascii="Arial" w:hAnsi="Arial" w:cs="Arial"/>
                <w:b/>
                <w:color w:val="000000"/>
                <w:sz w:val="16"/>
              </w:rPr>
              <w:t>Conselho da Humanity Pact Alliance</w:t>
            </w:r>
          </w:p>
        </w:tc>
        <w:tc>
          <w:tcPr>
            <w:tcW w:type="dxa" w:w="4320"/>
            <w:vAlign w:val="center"/>
            <w:tcMar>
              <w:top w:w="100" w:type="dxa"/>
              <w:start w:w="120" w:type="dxa"/>
              <w:bottom w:w="100" w:type="dxa"/>
              <w:end w:w="120" w:type="dxa"/>
            </w:tcMar>
          </w:tcPr>
          <w:p>
            <w:pPr>
              <w:spacing w:after="0" w:line="254" w:lineRule="auto"/>
            </w:pPr>
            <w:r>
              <w:rPr>
                <w:rFonts w:ascii="Arial" w:hAnsi="Arial" w:cs="Arial"/>
                <w:color w:val="000000"/>
                <w:sz w:val="16"/>
              </w:rPr>
              <w:t>Direção estratégica, integridade institucional e aprovação final</w:t>
            </w:r>
          </w:p>
        </w:tc>
        <w:tc>
          <w:tcPr>
            <w:tcW w:type="dxa" w:w="3240"/>
            <w:vAlign w:val="center"/>
            <w:tcMar>
              <w:top w:w="100" w:type="dxa"/>
              <w:start w:w="120" w:type="dxa"/>
              <w:bottom w:w="100" w:type="dxa"/>
              <w:end w:w="120" w:type="dxa"/>
            </w:tcMar>
          </w:tcPr>
          <w:p>
            <w:pPr>
              <w:spacing w:after="0" w:line="254" w:lineRule="auto"/>
            </w:pPr>
            <w:r>
              <w:rPr>
                <w:rFonts w:ascii="Arial" w:hAnsi="Arial" w:cs="Arial"/>
                <w:color w:val="000000"/>
                <w:sz w:val="16"/>
              </w:rPr>
              <w:t>Não altera resultados técnicos para proteger interesses políticos, financeiros ou reputacionais</w:t>
            </w:r>
          </w:p>
        </w:tc>
      </w:tr>
      <w:tr>
        <w:trPr>
          <w:cantSplit w:val="true"/>
        </w:trPr>
        <w:tc>
          <w:tcPr>
            <w:tcW w:type="dxa" w:w="2376"/>
            <w:vAlign w:val="center"/>
            <w:tcMar>
              <w:top w:w="100" w:type="dxa"/>
              <w:start w:w="120" w:type="dxa"/>
              <w:bottom w:w="100" w:type="dxa"/>
              <w:end w:w="120" w:type="dxa"/>
            </w:tcMar>
            <w:shd w:fill="F2F6F9"/>
          </w:tcPr>
          <w:p>
            <w:pPr>
              <w:spacing w:after="0" w:line="254" w:lineRule="auto"/>
            </w:pPr>
            <w:r>
              <w:rPr>
                <w:rFonts w:ascii="Arial" w:hAnsi="Arial" w:cs="Arial"/>
                <w:b/>
                <w:color w:val="000000"/>
                <w:sz w:val="16"/>
              </w:rPr>
              <w:t>Humanity Pact Think Tank</w:t>
            </w:r>
          </w:p>
        </w:tc>
        <w:tc>
          <w:tcPr>
            <w:tcW w:type="dxa" w:w="4320"/>
            <w:vAlign w:val="center"/>
            <w:tcMar>
              <w:top w:w="100" w:type="dxa"/>
              <w:start w:w="120" w:type="dxa"/>
              <w:bottom w:w="100" w:type="dxa"/>
              <w:end w:w="120" w:type="dxa"/>
            </w:tcMar>
            <w:shd w:fill="F2F6F9"/>
          </w:tcPr>
          <w:p>
            <w:pPr>
              <w:spacing w:after="0" w:line="254" w:lineRule="auto"/>
            </w:pPr>
            <w:r>
              <w:rPr>
                <w:rFonts w:ascii="Arial" w:hAnsi="Arial" w:cs="Arial"/>
                <w:color w:val="000000"/>
                <w:sz w:val="16"/>
              </w:rPr>
              <w:t>Autoria intelectual, investigação e coordenação da rede internacional de conhecimento</w:t>
            </w:r>
          </w:p>
        </w:tc>
        <w:tc>
          <w:tcPr>
            <w:tcW w:type="dxa" w:w="3240"/>
            <w:vAlign w:val="center"/>
            <w:tcMar>
              <w:top w:w="100" w:type="dxa"/>
              <w:start w:w="120" w:type="dxa"/>
              <w:bottom w:w="100" w:type="dxa"/>
              <w:end w:w="120" w:type="dxa"/>
            </w:tcMar>
            <w:shd w:fill="F2F6F9"/>
          </w:tcPr>
          <w:p>
            <w:pPr>
              <w:spacing w:after="0" w:line="254" w:lineRule="auto"/>
            </w:pPr>
            <w:r>
              <w:rPr>
                <w:rFonts w:ascii="Arial" w:hAnsi="Arial" w:cs="Arial"/>
                <w:color w:val="000000"/>
                <w:sz w:val="16"/>
              </w:rPr>
              <w:t>Funciona separadamente do Conselho e formula recomendações, sem substituir a decisão institucional</w:t>
            </w:r>
          </w:p>
        </w:tc>
      </w:tr>
      <w:tr>
        <w:trPr>
          <w:cantSplit w:val="true"/>
        </w:trPr>
        <w:tc>
          <w:tcPr>
            <w:tcW w:type="dxa" w:w="2376"/>
            <w:vAlign w:val="center"/>
            <w:tcMar>
              <w:top w:w="100" w:type="dxa"/>
              <w:start w:w="120" w:type="dxa"/>
              <w:bottom w:w="100" w:type="dxa"/>
              <w:end w:w="120" w:type="dxa"/>
            </w:tcMar>
          </w:tcPr>
          <w:p>
            <w:pPr>
              <w:spacing w:after="0" w:line="254" w:lineRule="auto"/>
            </w:pPr>
            <w:r>
              <w:rPr>
                <w:rFonts w:ascii="Arial" w:hAnsi="Arial" w:cs="Arial"/>
                <w:b/>
                <w:color w:val="000000"/>
                <w:sz w:val="16"/>
              </w:rPr>
              <w:t>Secretariado</w:t>
            </w:r>
          </w:p>
        </w:tc>
        <w:tc>
          <w:tcPr>
            <w:tcW w:type="dxa" w:w="4320"/>
            <w:vAlign w:val="center"/>
            <w:tcMar>
              <w:top w:w="100" w:type="dxa"/>
              <w:start w:w="120" w:type="dxa"/>
              <w:bottom w:w="100" w:type="dxa"/>
              <w:end w:w="120" w:type="dxa"/>
            </w:tcMar>
          </w:tcPr>
          <w:p>
            <w:pPr>
              <w:spacing w:after="0" w:line="254" w:lineRule="auto"/>
            </w:pPr>
            <w:r>
              <w:rPr>
                <w:rFonts w:ascii="Arial" w:hAnsi="Arial" w:cs="Arial"/>
                <w:color w:val="000000"/>
                <w:sz w:val="16"/>
              </w:rPr>
              <w:t>Coordenação operacional, registos, parcerias e calendário de reporte</w:t>
            </w:r>
          </w:p>
        </w:tc>
        <w:tc>
          <w:tcPr>
            <w:tcW w:type="dxa" w:w="3240"/>
            <w:vAlign w:val="center"/>
            <w:tcMar>
              <w:top w:w="100" w:type="dxa"/>
              <w:start w:w="120" w:type="dxa"/>
              <w:bottom w:w="100" w:type="dxa"/>
              <w:end w:w="120" w:type="dxa"/>
            </w:tcMar>
          </w:tcPr>
          <w:p>
            <w:pPr>
              <w:spacing w:after="0" w:line="254" w:lineRule="auto"/>
            </w:pPr>
            <w:r>
              <w:rPr>
                <w:rFonts w:ascii="Arial" w:hAnsi="Arial" w:cs="Arial"/>
                <w:color w:val="000000"/>
                <w:sz w:val="16"/>
              </w:rPr>
              <w:t>Não valida de forma independente o trabalho que administra</w:t>
            </w:r>
          </w:p>
        </w:tc>
      </w:tr>
      <w:tr>
        <w:trPr>
          <w:cantSplit w:val="true"/>
        </w:trPr>
        <w:tc>
          <w:tcPr>
            <w:tcW w:type="dxa" w:w="2376"/>
            <w:vAlign w:val="center"/>
            <w:tcMar>
              <w:top w:w="100" w:type="dxa"/>
              <w:start w:w="120" w:type="dxa"/>
              <w:bottom w:w="100" w:type="dxa"/>
              <w:end w:w="120" w:type="dxa"/>
            </w:tcMar>
            <w:shd w:fill="F2F6F9"/>
          </w:tcPr>
          <w:p>
            <w:pPr>
              <w:spacing w:after="0" w:line="254" w:lineRule="auto"/>
            </w:pPr>
            <w:r>
              <w:rPr>
                <w:rFonts w:ascii="Arial" w:hAnsi="Arial" w:cs="Arial"/>
                <w:b/>
                <w:color w:val="000000"/>
                <w:sz w:val="16"/>
              </w:rPr>
              <w:t>Humanity Index Lab</w:t>
            </w:r>
          </w:p>
        </w:tc>
        <w:tc>
          <w:tcPr>
            <w:tcW w:type="dxa" w:w="4320"/>
            <w:vAlign w:val="center"/>
            <w:tcMar>
              <w:top w:w="100" w:type="dxa"/>
              <w:start w:w="120" w:type="dxa"/>
              <w:bottom w:w="100" w:type="dxa"/>
              <w:end w:w="120" w:type="dxa"/>
            </w:tcMar>
            <w:shd w:fill="F2F6F9"/>
          </w:tcPr>
          <w:p>
            <w:pPr>
              <w:spacing w:after="0" w:line="254" w:lineRule="auto"/>
            </w:pPr>
            <w:r>
              <w:rPr>
                <w:rFonts w:ascii="Arial" w:hAnsi="Arial" w:cs="Arial"/>
                <w:color w:val="000000"/>
                <w:sz w:val="16"/>
              </w:rPr>
              <w:t>Desenvolvimento metodológico, indicadores, dados e testes</w:t>
            </w:r>
          </w:p>
        </w:tc>
        <w:tc>
          <w:tcPr>
            <w:tcW w:type="dxa" w:w="3240"/>
            <w:vAlign w:val="center"/>
            <w:tcMar>
              <w:top w:w="100" w:type="dxa"/>
              <w:start w:w="120" w:type="dxa"/>
              <w:bottom w:w="100" w:type="dxa"/>
              <w:end w:w="120" w:type="dxa"/>
            </w:tcMar>
            <w:shd w:fill="F2F6F9"/>
          </w:tcPr>
          <w:p>
            <w:pPr>
              <w:spacing w:after="0" w:line="254" w:lineRule="auto"/>
            </w:pPr>
            <w:r>
              <w:rPr>
                <w:rFonts w:ascii="Arial" w:hAnsi="Arial" w:cs="Arial"/>
                <w:color w:val="000000"/>
                <w:sz w:val="16"/>
              </w:rPr>
              <w:t>Publica métodos e incerteza e submete alterações materiais a aprovação</w:t>
            </w:r>
          </w:p>
        </w:tc>
      </w:tr>
      <w:tr>
        <w:trPr>
          <w:cantSplit w:val="true"/>
        </w:trPr>
        <w:tc>
          <w:tcPr>
            <w:tcW w:type="dxa" w:w="2376"/>
            <w:vAlign w:val="center"/>
            <w:tcMar>
              <w:top w:w="100" w:type="dxa"/>
              <w:start w:w="120" w:type="dxa"/>
              <w:bottom w:w="100" w:type="dxa"/>
              <w:end w:w="120" w:type="dxa"/>
            </w:tcMar>
          </w:tcPr>
          <w:p>
            <w:pPr>
              <w:spacing w:after="0" w:line="254" w:lineRule="auto"/>
            </w:pPr>
            <w:r>
              <w:rPr>
                <w:rFonts w:ascii="Arial" w:hAnsi="Arial" w:cs="Arial"/>
                <w:b/>
                <w:color w:val="000000"/>
                <w:sz w:val="16"/>
              </w:rPr>
              <w:t>Função de Ética Dados e Responsabilização</w:t>
            </w:r>
          </w:p>
        </w:tc>
        <w:tc>
          <w:tcPr>
            <w:tcW w:type="dxa" w:w="4320"/>
            <w:vAlign w:val="center"/>
            <w:tcMar>
              <w:top w:w="100" w:type="dxa"/>
              <w:start w:w="120" w:type="dxa"/>
              <w:bottom w:w="100" w:type="dxa"/>
              <w:end w:w="120" w:type="dxa"/>
            </w:tcMar>
          </w:tcPr>
          <w:p>
            <w:pPr>
              <w:spacing w:after="0" w:line="254" w:lineRule="auto"/>
            </w:pPr>
            <w:r>
              <w:rPr>
                <w:rFonts w:ascii="Arial" w:hAnsi="Arial" w:cs="Arial"/>
                <w:color w:val="000000"/>
                <w:sz w:val="16"/>
              </w:rPr>
              <w:t>Revisão de risco, conflitos, direitos, dados e mecanismos de reclamação</w:t>
            </w:r>
          </w:p>
        </w:tc>
        <w:tc>
          <w:tcPr>
            <w:tcW w:type="dxa" w:w="3240"/>
            <w:vAlign w:val="center"/>
            <w:tcMar>
              <w:top w:w="100" w:type="dxa"/>
              <w:start w:w="120" w:type="dxa"/>
              <w:bottom w:w="100" w:type="dxa"/>
              <w:end w:w="120" w:type="dxa"/>
            </w:tcMar>
          </w:tcPr>
          <w:p>
            <w:pPr>
              <w:spacing w:after="0" w:line="254" w:lineRule="auto"/>
            </w:pPr>
            <w:r>
              <w:rPr>
                <w:rFonts w:ascii="Arial" w:hAnsi="Arial" w:cs="Arial"/>
                <w:color w:val="000000"/>
                <w:sz w:val="16"/>
              </w:rPr>
              <w:t>Deve ter independência funcional adequada ao risco e tornar se estrutura permanente com a expansão</w:t>
            </w:r>
          </w:p>
        </w:tc>
      </w:tr>
      <w:tr>
        <w:trPr>
          <w:cantSplit w:val="true"/>
        </w:trPr>
        <w:tc>
          <w:tcPr>
            <w:tcW w:type="dxa" w:w="2376"/>
            <w:vAlign w:val="center"/>
            <w:tcMar>
              <w:top w:w="100" w:type="dxa"/>
              <w:start w:w="120" w:type="dxa"/>
              <w:bottom w:w="100" w:type="dxa"/>
              <w:end w:w="120" w:type="dxa"/>
            </w:tcMar>
            <w:shd w:fill="F2F6F9"/>
          </w:tcPr>
          <w:p>
            <w:pPr>
              <w:spacing w:after="0" w:line="254" w:lineRule="auto"/>
            </w:pPr>
            <w:r>
              <w:rPr>
                <w:rFonts w:ascii="Arial" w:hAnsi="Arial" w:cs="Arial"/>
                <w:b/>
                <w:color w:val="000000"/>
                <w:sz w:val="16"/>
              </w:rPr>
              <w:t>Painéis de Titulares de Direitos</w:t>
            </w:r>
          </w:p>
        </w:tc>
        <w:tc>
          <w:tcPr>
            <w:tcW w:type="dxa" w:w="4320"/>
            <w:vAlign w:val="center"/>
            <w:tcMar>
              <w:top w:w="100" w:type="dxa"/>
              <w:start w:w="120" w:type="dxa"/>
              <w:bottom w:w="100" w:type="dxa"/>
              <w:end w:w="120" w:type="dxa"/>
            </w:tcMar>
            <w:shd w:fill="F2F6F9"/>
          </w:tcPr>
          <w:p>
            <w:pPr>
              <w:spacing w:after="0" w:line="254" w:lineRule="auto"/>
            </w:pPr>
            <w:r>
              <w:rPr>
                <w:rFonts w:ascii="Arial" w:hAnsi="Arial" w:cs="Arial"/>
                <w:color w:val="000000"/>
                <w:sz w:val="16"/>
              </w:rPr>
              <w:t>Interpretação comunitária, prioridades, validação contextual e contestação</w:t>
            </w:r>
          </w:p>
        </w:tc>
        <w:tc>
          <w:tcPr>
            <w:tcW w:type="dxa" w:w="3240"/>
            <w:vAlign w:val="center"/>
            <w:tcMar>
              <w:top w:w="100" w:type="dxa"/>
              <w:start w:w="120" w:type="dxa"/>
              <w:bottom w:w="100" w:type="dxa"/>
              <w:end w:w="120" w:type="dxa"/>
            </w:tcMar>
            <w:shd w:fill="F2F6F9"/>
          </w:tcPr>
          <w:p>
            <w:pPr>
              <w:spacing w:after="0" w:line="254" w:lineRule="auto"/>
            </w:pPr>
            <w:r>
              <w:rPr>
                <w:rFonts w:ascii="Arial" w:hAnsi="Arial" w:cs="Arial"/>
                <w:color w:val="000000"/>
                <w:sz w:val="16"/>
              </w:rPr>
              <w:t>A participação não transfere direitos sobre dados ou conhecimento sem consentimento</w:t>
            </w:r>
          </w:p>
        </w:tc>
      </w:tr>
      <w:tr>
        <w:trPr>
          <w:cantSplit w:val="true"/>
        </w:trPr>
        <w:tc>
          <w:tcPr>
            <w:tcW w:type="dxa" w:w="2376"/>
            <w:vAlign w:val="center"/>
            <w:tcMar>
              <w:top w:w="100" w:type="dxa"/>
              <w:start w:w="120" w:type="dxa"/>
              <w:bottom w:w="100" w:type="dxa"/>
              <w:end w:w="120" w:type="dxa"/>
            </w:tcMar>
          </w:tcPr>
          <w:p>
            <w:pPr>
              <w:spacing w:after="0" w:line="254" w:lineRule="auto"/>
            </w:pPr>
            <w:r>
              <w:rPr>
                <w:rFonts w:ascii="Arial" w:hAnsi="Arial" w:cs="Arial"/>
                <w:b/>
                <w:color w:val="000000"/>
                <w:sz w:val="16"/>
              </w:rPr>
              <w:t>Parceiros de Validação Científica</w:t>
            </w:r>
          </w:p>
        </w:tc>
        <w:tc>
          <w:tcPr>
            <w:tcW w:type="dxa" w:w="4320"/>
            <w:vAlign w:val="center"/>
            <w:tcMar>
              <w:top w:w="100" w:type="dxa"/>
              <w:start w:w="120" w:type="dxa"/>
              <w:bottom w:w="100" w:type="dxa"/>
              <w:end w:w="120" w:type="dxa"/>
            </w:tcMar>
          </w:tcPr>
          <w:p>
            <w:pPr>
              <w:spacing w:after="0" w:line="254" w:lineRule="auto"/>
            </w:pPr>
            <w:r>
              <w:rPr>
                <w:rFonts w:ascii="Arial" w:hAnsi="Arial" w:cs="Arial"/>
                <w:color w:val="000000"/>
                <w:sz w:val="16"/>
              </w:rPr>
              <w:t>Teste independente da coerência conceptual, estatística e ética</w:t>
            </w:r>
          </w:p>
        </w:tc>
        <w:tc>
          <w:tcPr>
            <w:tcW w:type="dxa" w:w="3240"/>
            <w:vAlign w:val="center"/>
            <w:tcMar>
              <w:top w:w="100" w:type="dxa"/>
              <w:start w:w="120" w:type="dxa"/>
              <w:bottom w:w="100" w:type="dxa"/>
              <w:end w:w="120" w:type="dxa"/>
            </w:tcMar>
          </w:tcPr>
          <w:p>
            <w:pPr>
              <w:spacing w:after="0" w:line="254" w:lineRule="auto"/>
            </w:pPr>
            <w:r>
              <w:rPr>
                <w:rFonts w:ascii="Arial" w:hAnsi="Arial" w:cs="Arial"/>
                <w:color w:val="000000"/>
                <w:sz w:val="16"/>
              </w:rPr>
              <w:t>A validação não cria coautoria, propriedade ou poder de decisão sobre o Pact</w:t>
            </w:r>
          </w:p>
        </w:tc>
      </w:tr>
    </w:tbl>
    <w:p>
      <w:pPr>
        <w:widowControl/>
        <w:spacing w:after="40"/>
      </w:pPr>
    </w:p>
    <w:p>
      <w:pPr>
        <w:pStyle w:val="Heading2"/>
        <w:keepNext/>
        <w:widowControl/>
      </w:pPr>
      <w:r>
        <w:t>13.1 Princípios de governação</w:t>
      </w:r>
    </w:p>
    <w:p>
      <w:pPr>
        <w:widowControl/>
        <w:spacing w:after="120" w:line="271" w:lineRule="auto"/>
      </w:pPr>
      <w:r>
        <w:rPr>
          <w:rFonts w:ascii="Arial" w:hAnsi="Arial" w:cs="Arial"/>
          <w:color w:val="000000"/>
          <w:sz w:val="21"/>
        </w:rPr>
        <w:t>A governação assenta em independência, participação, integridade metodológica, proteção de titulares de direitos, transparência, declaração de conflitos e responsabilização pública.</w:t>
      </w:r>
    </w:p>
    <w:p>
      <w:pPr>
        <w:widowControl/>
        <w:spacing w:after="120" w:line="271" w:lineRule="auto"/>
      </w:pPr>
      <w:r>
        <w:rPr>
          <w:rFonts w:ascii="Arial" w:hAnsi="Arial" w:cs="Arial"/>
          <w:color w:val="000000"/>
          <w:sz w:val="21"/>
        </w:rPr>
        <w:t>Os comités são criados por decisão maioritária do Conselho nos termos do quadro operacional. Produzem análises e recomendações. A aprovação institucional final permanece com o Conselho, sem prejuízo da independência de relatórios científicos, auditorias e pareceres externos.</w:t>
      </w:r>
    </w:p>
    <w:p>
      <w:pPr>
        <w:widowControl/>
        <w:spacing w:after="120" w:line="271" w:lineRule="auto"/>
      </w:pPr>
      <w:r>
        <w:rPr>
          <w:rFonts w:ascii="Arial" w:hAnsi="Arial" w:cs="Arial"/>
          <w:color w:val="000000"/>
          <w:sz w:val="21"/>
        </w:rPr>
        <w:t>Nenhum governo, empresa, financiador ou parceiro de implementação pode alterar metodologia, suprimir resultados ou condicionar comunicação pública. Membros com conflito material devem declarar o conflito e afastar-se da decisão correspondente.</w:t>
      </w:r>
    </w:p>
    <w:p>
      <w:pPr>
        <w:pStyle w:val="Heading2"/>
        <w:keepNext/>
        <w:widowControl/>
      </w:pPr>
      <w:r>
        <w:t>13.2 Participação e remuneração</w:t>
      </w:r>
    </w:p>
    <w:p>
      <w:pPr>
        <w:widowControl/>
        <w:spacing w:after="120" w:line="271" w:lineRule="auto"/>
      </w:pPr>
      <w:r>
        <w:rPr>
          <w:rFonts w:ascii="Arial" w:hAnsi="Arial" w:cs="Arial"/>
          <w:color w:val="000000"/>
          <w:sz w:val="21"/>
        </w:rPr>
        <w:t>A participação comunitária não deve depender de trabalho gratuito permanente. Os orçamentos devem prever acessibilidade, tradução, apoio técnico, deslocações, cuidados e compensação adequada, quando aplicável. A remuneração não compra consentimento nem limita o direito de crítica.</w:t>
      </w:r>
    </w:p>
    <w:p>
      <w:pPr>
        <w:pStyle w:val="Heading1"/>
        <w:keepNext/>
        <w:widowControl/>
      </w:pPr>
      <w:r>
        <w:t>14 Dados inteligência artificial e ética do conhecimento</w:t>
      </w:r>
    </w:p>
    <w:p>
      <w:pPr>
        <w:pStyle w:val="Heading2"/>
        <w:keepNext/>
        <w:widowControl/>
      </w:pPr>
      <w:r>
        <w:t>14.1 Princípios gerais</w:t>
      </w:r>
    </w:p>
    <w:p>
      <w:pPr>
        <w:widowControl/>
        <w:spacing w:after="120" w:line="271" w:lineRule="auto"/>
      </w:pPr>
      <w:r>
        <w:rPr>
          <w:rFonts w:ascii="Arial" w:hAnsi="Arial" w:cs="Arial"/>
          <w:color w:val="000000"/>
          <w:sz w:val="21"/>
        </w:rPr>
        <w:t>O Humanity Pact e o Humanity Index aplicam necessidade, proporcionalidade, minimização, qualidade, segurança, finalidade definida, transparência, contestabilidade e responsabilidade. A recolha de dados sensíveis exige avaliação específica de risco e uma base legal ou ética adequada.</w:t>
      </w:r>
    </w:p>
    <w:p>
      <w:pPr>
        <w:widowControl/>
        <w:spacing w:after="120" w:line="271" w:lineRule="auto"/>
      </w:pPr>
      <w:r>
        <w:rPr>
          <w:rFonts w:ascii="Arial" w:hAnsi="Arial" w:cs="Arial"/>
          <w:color w:val="000000"/>
          <w:sz w:val="21"/>
        </w:rPr>
        <w:t>As comunidades mantêm direitos sobre conhecimento e dados sujeitos a soberania coletiva, protocolos culturais ou consentimento específico. A publicação de dados abertos nunca prevalece sobre segurança, privacidade, direitos indígenas, proteção contra discriminação ou risco de perseguição.</w:t>
      </w:r>
    </w:p>
    <w:p>
      <w:pPr>
        <w:pStyle w:val="Heading2"/>
        <w:keepNext/>
        <w:widowControl/>
      </w:pPr>
      <w:r>
        <w:t>14.2 Inteligência artificial</w:t>
      </w:r>
    </w:p>
    <w:p>
      <w:pPr>
        <w:widowControl/>
        <w:spacing w:after="120" w:line="271" w:lineRule="auto"/>
      </w:pPr>
      <w:r>
        <w:rPr>
          <w:rFonts w:ascii="Arial" w:hAnsi="Arial" w:cs="Arial"/>
          <w:color w:val="000000"/>
          <w:sz w:val="21"/>
        </w:rPr>
        <w:t>Sistemas de inteligência artificial utilizados no Dashboard, na recolha, classificação ou interpretação de informação devem ter função documentada, supervisão humana, avaliação de impacto, testes de enviesamento, registo de versões e possibilidade de contestação.</w:t>
      </w:r>
    </w:p>
    <w:p>
      <w:pPr>
        <w:widowControl/>
        <w:spacing w:after="120" w:line="271" w:lineRule="auto"/>
      </w:pPr>
      <w:r>
        <w:rPr>
          <w:rFonts w:ascii="Arial" w:hAnsi="Arial" w:cs="Arial"/>
          <w:color w:val="000000"/>
          <w:sz w:val="21"/>
        </w:rPr>
        <w:t>É proibida a utilização do Pact ou dos seus dados para vigilância generalizada, repressão, discriminação automatizada, definição secreta de risco social ou decisões de alto impacto sem revisão humana efetiva. Conteúdo gerado por inteligência artificial deve ser identificado quando possa ser confundido com evidência, análise científica ou testemunho humano.</w:t>
      </w:r>
    </w:p>
    <w:p>
      <w:pPr>
        <w:pStyle w:val="Heading2"/>
        <w:keepNext/>
        <w:widowControl/>
      </w:pPr>
      <w:r>
        <w:t>14.3 Invisibilidade estatística</w:t>
      </w:r>
    </w:p>
    <w:p>
      <w:pPr>
        <w:widowControl/>
        <w:spacing w:after="120" w:line="271" w:lineRule="auto"/>
      </w:pPr>
      <w:r>
        <w:rPr>
          <w:rFonts w:ascii="Arial" w:hAnsi="Arial" w:cs="Arial"/>
          <w:color w:val="000000"/>
          <w:sz w:val="21"/>
        </w:rPr>
        <w:t>A ausência de dados sobre um grupo pode resultar de exclusão, risco, desconfiança, categorias inadequadas ou incapacidade institucional. O sistema deve registar quem está ausente, porquê, que riscos decorrem da recolha e que medidas são necessárias para melhorar representação sem criar dano.</w:t>
      </w:r>
    </w:p>
    <w:p>
      <w:pPr>
        <w:pStyle w:val="Heading2"/>
        <w:keepNext/>
        <w:widowControl/>
      </w:pPr>
      <w:r>
        <w:t>14.4 Direito de contestação</w:t>
      </w:r>
    </w:p>
    <w:p>
      <w:pPr>
        <w:widowControl/>
        <w:spacing w:after="120" w:line="271" w:lineRule="auto"/>
      </w:pPr>
      <w:r>
        <w:rPr>
          <w:rFonts w:ascii="Arial" w:hAnsi="Arial" w:cs="Arial"/>
          <w:color w:val="000000"/>
          <w:sz w:val="21"/>
        </w:rPr>
        <w:t>Pessoas e comunidades devem poder conhecer a utilização dos seus dados, contestar inferências, pedir correção e obter uma resposta fundamentada. Quando a divulgação integral não seja possível, a entidade deve fornecer uma explicação suficiente para permitir supervisão legítima.</w:t>
      </w:r>
    </w:p>
    <w:p>
      <w:pPr>
        <w:pStyle w:val="Heading1"/>
        <w:keepNext/>
        <w:widowControl/>
      </w:pPr>
      <w:r>
        <w:t>15 Financiamento e independência</w:t>
      </w:r>
    </w:p>
    <w:p>
      <w:pPr>
        <w:widowControl/>
        <w:spacing w:after="120" w:line="271" w:lineRule="auto"/>
      </w:pPr>
      <w:r>
        <w:rPr>
          <w:rFonts w:ascii="Arial" w:hAnsi="Arial" w:cs="Arial"/>
          <w:color w:val="000000"/>
          <w:sz w:val="21"/>
        </w:rPr>
        <w:t>O financiamento deve proteger a credibilidade do Humanity Pact. Todos os financiadores institucionais relevantes devem ser divulgados. Os acordos não podem atribuir controlo sobre pilares, indicadores, resultados, publicação ou mecanismos de reclamação.</w:t>
      </w:r>
    </w:p>
    <w:p>
      <w:pPr>
        <w:widowControl/>
        <w:spacing w:after="120" w:line="271" w:lineRule="auto"/>
      </w:pPr>
      <w:r>
        <w:rPr>
          <w:rFonts w:ascii="Arial" w:hAnsi="Arial" w:cs="Arial"/>
          <w:color w:val="000000"/>
          <w:sz w:val="21"/>
        </w:rPr>
        <w:t>Os orçamentos devem incluir participação comunitária, acessibilidade, proteção de dados, revisão ética, avaliação independente e correção de falhas. Nenhum financiador pode impedir a publicação de resultados desfavoráveis ou exigir tratamento preferencial no Dashboard.</w:t>
      </w:r>
    </w:p>
    <w:p>
      <w:pPr>
        <w:widowControl/>
        <w:spacing w:after="120" w:line="271" w:lineRule="auto"/>
      </w:pPr>
      <w:r>
        <w:rPr>
          <w:rFonts w:ascii="Arial" w:hAnsi="Arial" w:cs="Arial"/>
          <w:color w:val="000000"/>
          <w:sz w:val="21"/>
        </w:rPr>
        <w:t>Receitas provenientes de governos, empresas, fundações, universidades, sociedade civil ou organizações internacionais podem ser aceites quando exista diligência adequada, conflito gerível, contrato transparente e independência metodológica preservada. A Humanity Pact Alliance pode recusar ou terminar financiamento que comprometa direitos, integridade ou confiança pública.</w:t>
      </w:r>
    </w:p>
    <w:p>
      <w:pPr>
        <w:pStyle w:val="Heading1"/>
        <w:keepNext/>
        <w:widowControl/>
      </w:pPr>
      <w:r>
        <w:t>16 Autoria propriedade intelectual e validação</w:t>
      </w:r>
    </w:p>
    <w:p>
      <w:pPr>
        <w:pStyle w:val="Heading2"/>
        <w:keepNext/>
        <w:widowControl/>
      </w:pPr>
      <w:r>
        <w:t>16.1 Autoria</w:t>
      </w:r>
    </w:p>
    <w:p>
      <w:pPr>
        <w:widowControl/>
        <w:spacing w:after="120" w:line="271" w:lineRule="auto"/>
      </w:pPr>
      <w:r>
        <w:rPr>
          <w:rFonts w:ascii="Arial" w:hAnsi="Arial" w:cs="Arial"/>
          <w:color w:val="000000"/>
          <w:sz w:val="21"/>
        </w:rPr>
        <w:t xml:space="preserve">A autoria intelectual do Humanity Pact 2026 pertence ao </w:t>
      </w:r>
      <w:r>
        <w:rPr>
          <w:rFonts w:ascii="Arial" w:hAnsi="Arial" w:cs="Arial"/>
          <w:b/>
          <w:color w:val="000000"/>
          <w:sz w:val="21"/>
        </w:rPr>
        <w:t>Humanity Pact Think Tank e a Myriam Taylor de Carvalho</w:t>
      </w:r>
      <w:r>
        <w:rPr>
          <w:rFonts w:ascii="Arial" w:hAnsi="Arial" w:cs="Arial"/>
          <w:color w:val="000000"/>
          <w:sz w:val="21"/>
        </w:rPr>
        <w:t>. Contributos de comunidades, especialistas e instituições devem ser reconhecidos de forma adequada, sem criar coautoria implícita.</w:t>
      </w:r>
    </w:p>
    <w:p>
      <w:pPr>
        <w:pStyle w:val="Heading2"/>
        <w:keepNext/>
        <w:widowControl/>
      </w:pPr>
      <w:r>
        <w:t>16.2 Custódia institucional</w:t>
      </w:r>
    </w:p>
    <w:p>
      <w:pPr>
        <w:widowControl/>
        <w:spacing w:after="120" w:line="271" w:lineRule="auto"/>
      </w:pPr>
      <w:r>
        <w:rPr>
          <w:rFonts w:ascii="Arial" w:hAnsi="Arial" w:cs="Arial"/>
          <w:color w:val="000000"/>
          <w:sz w:val="21"/>
        </w:rPr>
        <w:t>A marca Humanity Pact, a arquitetura institucional, a metodologia do Humanity Index e o Humanity Pact Dashboard permanecem sob custódia da Humanity Pact Alliance, nos termos dos respetivos registos e acordos. Materiais anteriores a qualquer parceria mantêm a sua titularidade original.</w:t>
      </w:r>
    </w:p>
    <w:p>
      <w:pPr>
        <w:pStyle w:val="Heading2"/>
        <w:keepNext/>
        <w:widowControl/>
      </w:pPr>
      <w:r>
        <w:t>16.3 Parcerias científicas</w:t>
      </w:r>
    </w:p>
    <w:p>
      <w:pPr>
        <w:widowControl/>
        <w:spacing w:after="120" w:line="271" w:lineRule="auto"/>
      </w:pPr>
      <w:r>
        <w:rPr>
          <w:rFonts w:ascii="Arial" w:hAnsi="Arial" w:cs="Arial"/>
          <w:color w:val="000000"/>
          <w:sz w:val="21"/>
        </w:rPr>
        <w:t>Uma universidade ou instituição de investigação pode rever, testar e criticar o Humanity Index com independência. Essa função não transfere autoria, propriedade ou direção estratégica. O parceiro mantém a autoria do seu relatório de validação e pode formular recomendações não vinculativas.</w:t>
      </w:r>
    </w:p>
    <w:p>
      <w:pPr>
        <w:widowControl/>
        <w:spacing w:after="120" w:line="271" w:lineRule="auto"/>
      </w:pPr>
      <w:r>
        <w:rPr>
          <w:rFonts w:ascii="Arial" w:hAnsi="Arial" w:cs="Arial"/>
          <w:color w:val="000000"/>
          <w:sz w:val="21"/>
        </w:rPr>
        <w:t>A expressão validação científica só pode ser utilizada após conclusão formal do processo e aprovação da formulação pelas partes competentes. A autorização para investigação, publicação ou reutilização de dados exige acordo específico e proteção contratual de dados comunitários e sensíveis.</w:t>
      </w:r>
    </w:p>
    <w:p>
      <w:pPr>
        <w:pStyle w:val="Heading2"/>
        <w:keepNext/>
        <w:widowControl/>
      </w:pPr>
      <w:r>
        <w:t>16.4 Uso e proteção da integridade</w:t>
      </w:r>
    </w:p>
    <w:p>
      <w:pPr>
        <w:widowControl/>
        <w:spacing w:after="120" w:line="271" w:lineRule="auto"/>
      </w:pPr>
      <w:r>
        <w:rPr>
          <w:rFonts w:ascii="Arial" w:hAnsi="Arial" w:cs="Arial"/>
          <w:color w:val="000000"/>
          <w:sz w:val="21"/>
        </w:rPr>
        <w:t>A Humanity Pact Alliance pode autorizar, limitar, suspender ou revogar a utilização pública do nome e dos materiais quando exista deturpação, alegação não autorizada de certificação, ocultação de conflito, obstrução de revisão ou utilização associada a dano grave.</w:t>
      </w:r>
    </w:p>
    <w:p>
      <w:pPr>
        <w:pStyle w:val="Heading1"/>
        <w:keepNext/>
        <w:pageBreakBefore/>
        <w:widowControl/>
      </w:pPr>
      <w:r>
        <w:t>17 Roteiro de 2026 a 2030</w:t>
      </w:r>
    </w:p>
    <w:p>
      <w:pPr>
        <w:widowControl/>
        <w:spacing w:after="120" w:line="271" w:lineRule="auto"/>
      </w:pPr>
      <w:r>
        <w:rPr>
          <w:rFonts w:ascii="Arial" w:hAnsi="Arial" w:cs="Arial"/>
          <w:color w:val="000000"/>
          <w:sz w:val="21"/>
        </w:rPr>
        <w:t>O roteiro estabelece uma sequência condicionada por decisões de qualidade. As datas podem ser ajustadas segundo recursos, acordos institucionais e resultados da validação, mas cada fase deve cumprir o seu critério de passagem antes da expansão.</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98"/>
        <w:gridCol w:w="2498"/>
        <w:gridCol w:w="2498"/>
        <w:gridCol w:w="2498"/>
      </w:tblGrid>
      <w:tr>
        <w:trPr>
          <w:tblHeader w:val="true"/>
          <w:cantSplit w:val="true"/>
        </w:trPr>
        <w:tc>
          <w:tcPr>
            <w:tcW w:type="dxa" w:w="1440"/>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Período</w:t>
            </w:r>
          </w:p>
        </w:tc>
        <w:tc>
          <w:tcPr>
            <w:tcW w:type="dxa" w:w="2232"/>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Foco</w:t>
            </w:r>
          </w:p>
        </w:tc>
        <w:tc>
          <w:tcPr>
            <w:tcW w:type="dxa" w:w="4176"/>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Entregáveis</w:t>
            </w:r>
          </w:p>
        </w:tc>
        <w:tc>
          <w:tcPr>
            <w:tcW w:type="dxa" w:w="2088"/>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Decisão de passagem</w:t>
            </w:r>
          </w:p>
        </w:tc>
      </w:tr>
      <w:tr>
        <w:trPr>
          <w:cantSplit w:val="true"/>
        </w:trPr>
        <w:tc>
          <w:tcPr>
            <w:tcW w:type="dxa" w:w="1440"/>
            <w:vAlign w:val="center"/>
            <w:tcMar>
              <w:top w:w="100" w:type="dxa"/>
              <w:start w:w="120" w:type="dxa"/>
              <w:bottom w:w="100" w:type="dxa"/>
              <w:end w:w="120" w:type="dxa"/>
            </w:tcMar>
          </w:tcPr>
          <w:p>
            <w:pPr>
              <w:spacing w:after="0" w:line="254" w:lineRule="auto"/>
            </w:pPr>
            <w:r>
              <w:rPr>
                <w:rFonts w:ascii="Arial" w:hAnsi="Arial" w:cs="Arial"/>
                <w:b/>
                <w:color w:val="000000"/>
                <w:sz w:val="15"/>
              </w:rPr>
              <w:t>2026</w:t>
            </w:r>
          </w:p>
        </w:tc>
        <w:tc>
          <w:tcPr>
            <w:tcW w:type="dxa" w:w="2232"/>
            <w:vAlign w:val="center"/>
            <w:tcMar>
              <w:top w:w="100" w:type="dxa"/>
              <w:start w:w="120" w:type="dxa"/>
              <w:bottom w:w="100" w:type="dxa"/>
              <w:end w:w="120" w:type="dxa"/>
            </w:tcMar>
          </w:tcPr>
          <w:p>
            <w:pPr>
              <w:spacing w:after="0" w:line="254" w:lineRule="auto"/>
            </w:pPr>
            <w:r>
              <w:rPr>
                <w:rFonts w:ascii="Arial" w:hAnsi="Arial" w:cs="Arial"/>
                <w:color w:val="000000"/>
                <w:sz w:val="15"/>
              </w:rPr>
              <w:t>Consolidação institucional</w:t>
            </w:r>
          </w:p>
        </w:tc>
        <w:tc>
          <w:tcPr>
            <w:tcW w:type="dxa" w:w="4176"/>
            <w:vAlign w:val="center"/>
            <w:tcMar>
              <w:top w:w="100" w:type="dxa"/>
              <w:start w:w="120" w:type="dxa"/>
              <w:bottom w:w="100" w:type="dxa"/>
              <w:end w:w="120" w:type="dxa"/>
            </w:tcMar>
          </w:tcPr>
          <w:p>
            <w:pPr>
              <w:spacing w:after="0" w:line="254" w:lineRule="auto"/>
            </w:pPr>
            <w:r>
              <w:rPr>
                <w:rFonts w:ascii="Arial" w:hAnsi="Arial" w:cs="Arial"/>
                <w:color w:val="000000"/>
                <w:sz w:val="15"/>
              </w:rPr>
              <w:t>Pact aprovado, quadro operacional, protocolo ético, matriz inicial de indicadores e revisão de nome e marca</w:t>
            </w:r>
          </w:p>
        </w:tc>
        <w:tc>
          <w:tcPr>
            <w:tcW w:type="dxa" w:w="2088"/>
            <w:vAlign w:val="center"/>
            <w:tcMar>
              <w:top w:w="100" w:type="dxa"/>
              <w:start w:w="120" w:type="dxa"/>
              <w:bottom w:w="100" w:type="dxa"/>
              <w:end w:w="120" w:type="dxa"/>
            </w:tcMar>
          </w:tcPr>
          <w:p>
            <w:pPr>
              <w:spacing w:after="0" w:line="254" w:lineRule="auto"/>
            </w:pPr>
            <w:r>
              <w:rPr>
                <w:rFonts w:ascii="Arial" w:hAnsi="Arial" w:cs="Arial"/>
                <w:color w:val="000000"/>
                <w:sz w:val="15"/>
              </w:rPr>
              <w:t>Aprovação do Conselho e definição da governação do piloto</w:t>
            </w:r>
          </w:p>
        </w:tc>
      </w:tr>
      <w:tr>
        <w:trPr>
          <w:cantSplit w:val="true"/>
        </w:trPr>
        <w:tc>
          <w:tcPr>
            <w:tcW w:type="dxa" w:w="1440"/>
            <w:vAlign w:val="center"/>
            <w:tcMar>
              <w:top w:w="100" w:type="dxa"/>
              <w:start w:w="120" w:type="dxa"/>
              <w:bottom w:w="100" w:type="dxa"/>
              <w:end w:w="120" w:type="dxa"/>
            </w:tcMar>
            <w:shd w:fill="F2F6F9"/>
          </w:tcPr>
          <w:p>
            <w:pPr>
              <w:spacing w:after="0" w:line="254" w:lineRule="auto"/>
            </w:pPr>
            <w:r>
              <w:rPr>
                <w:rFonts w:ascii="Arial" w:hAnsi="Arial" w:cs="Arial"/>
                <w:b/>
                <w:color w:val="000000"/>
                <w:sz w:val="15"/>
              </w:rPr>
              <w:t>2026 a 2027</w:t>
            </w:r>
          </w:p>
        </w:tc>
        <w:tc>
          <w:tcPr>
            <w:tcW w:type="dxa" w:w="2232"/>
            <w:vAlign w:val="center"/>
            <w:tcMar>
              <w:top w:w="100" w:type="dxa"/>
              <w:start w:w="120" w:type="dxa"/>
              <w:bottom w:w="100" w:type="dxa"/>
              <w:end w:w="120" w:type="dxa"/>
            </w:tcMar>
            <w:shd w:fill="F2F6F9"/>
          </w:tcPr>
          <w:p>
            <w:pPr>
              <w:spacing w:after="0" w:line="254" w:lineRule="auto"/>
            </w:pPr>
            <w:r>
              <w:rPr>
                <w:rFonts w:ascii="Arial" w:hAnsi="Arial" w:cs="Arial"/>
                <w:color w:val="000000"/>
                <w:sz w:val="15"/>
              </w:rPr>
              <w:t>Validação e desenho do piloto</w:t>
            </w:r>
          </w:p>
        </w:tc>
        <w:tc>
          <w:tcPr>
            <w:tcW w:type="dxa" w:w="4176"/>
            <w:vAlign w:val="center"/>
            <w:tcMar>
              <w:top w:w="100" w:type="dxa"/>
              <w:start w:w="120" w:type="dxa"/>
              <w:bottom w:w="100" w:type="dxa"/>
              <w:end w:w="120" w:type="dxa"/>
            </w:tcMar>
            <w:shd w:fill="F2F6F9"/>
          </w:tcPr>
          <w:p>
            <w:pPr>
              <w:spacing w:after="0" w:line="254" w:lineRule="auto"/>
            </w:pPr>
            <w:r>
              <w:rPr>
                <w:rFonts w:ascii="Arial" w:hAnsi="Arial" w:cs="Arial"/>
                <w:color w:val="000000"/>
                <w:sz w:val="15"/>
              </w:rPr>
              <w:t>Revisão científica independente, instrumentos de Esperança e Agência, regras de ponderação, plano amostral e dashboard revisto</w:t>
            </w:r>
          </w:p>
        </w:tc>
        <w:tc>
          <w:tcPr>
            <w:tcW w:type="dxa" w:w="2088"/>
            <w:vAlign w:val="center"/>
            <w:tcMar>
              <w:top w:w="100" w:type="dxa"/>
              <w:start w:w="120" w:type="dxa"/>
              <w:bottom w:w="100" w:type="dxa"/>
              <w:end w:w="120" w:type="dxa"/>
            </w:tcMar>
            <w:shd w:fill="F2F6F9"/>
          </w:tcPr>
          <w:p>
            <w:pPr>
              <w:spacing w:after="0" w:line="254" w:lineRule="auto"/>
            </w:pPr>
            <w:r>
              <w:rPr>
                <w:rFonts w:ascii="Arial" w:hAnsi="Arial" w:cs="Arial"/>
                <w:color w:val="000000"/>
                <w:sz w:val="15"/>
              </w:rPr>
              <w:t>Evidência suficiente para iniciar recolha no terreno</w:t>
            </w:r>
          </w:p>
        </w:tc>
      </w:tr>
      <w:tr>
        <w:trPr>
          <w:cantSplit w:val="true"/>
        </w:trPr>
        <w:tc>
          <w:tcPr>
            <w:tcW w:type="dxa" w:w="1440"/>
            <w:vAlign w:val="center"/>
            <w:tcMar>
              <w:top w:w="100" w:type="dxa"/>
              <w:start w:w="120" w:type="dxa"/>
              <w:bottom w:w="100" w:type="dxa"/>
              <w:end w:w="120" w:type="dxa"/>
            </w:tcMar>
          </w:tcPr>
          <w:p>
            <w:pPr>
              <w:spacing w:after="0" w:line="254" w:lineRule="auto"/>
            </w:pPr>
            <w:r>
              <w:rPr>
                <w:rFonts w:ascii="Arial" w:hAnsi="Arial" w:cs="Arial"/>
                <w:b/>
                <w:color w:val="000000"/>
                <w:sz w:val="15"/>
              </w:rPr>
              <w:t>2027 a 2028</w:t>
            </w:r>
          </w:p>
        </w:tc>
        <w:tc>
          <w:tcPr>
            <w:tcW w:type="dxa" w:w="2232"/>
            <w:vAlign w:val="center"/>
            <w:tcMar>
              <w:top w:w="100" w:type="dxa"/>
              <w:start w:w="120" w:type="dxa"/>
              <w:bottom w:w="100" w:type="dxa"/>
              <w:end w:w="120" w:type="dxa"/>
            </w:tcMar>
          </w:tcPr>
          <w:p>
            <w:pPr>
              <w:spacing w:after="0" w:line="254" w:lineRule="auto"/>
            </w:pPr>
            <w:r>
              <w:rPr>
                <w:rFonts w:ascii="Arial" w:hAnsi="Arial" w:cs="Arial"/>
                <w:color w:val="000000"/>
                <w:sz w:val="15"/>
              </w:rPr>
              <w:t>Pilotos</w:t>
            </w:r>
          </w:p>
        </w:tc>
        <w:tc>
          <w:tcPr>
            <w:tcW w:type="dxa" w:w="4176"/>
            <w:vAlign w:val="center"/>
            <w:tcMar>
              <w:top w:w="100" w:type="dxa"/>
              <w:start w:w="120" w:type="dxa"/>
              <w:bottom w:w="100" w:type="dxa"/>
              <w:end w:w="120" w:type="dxa"/>
            </w:tcMar>
          </w:tcPr>
          <w:p>
            <w:pPr>
              <w:spacing w:after="0" w:line="254" w:lineRule="auto"/>
            </w:pPr>
            <w:r>
              <w:rPr>
                <w:rFonts w:ascii="Arial" w:hAnsi="Arial" w:cs="Arial"/>
                <w:color w:val="000000"/>
                <w:sz w:val="15"/>
              </w:rPr>
              <w:t>Dois a quatro territórios ou instituições, painéis comunitários, relatórios diagnósticos e registo de limitações</w:t>
            </w:r>
          </w:p>
        </w:tc>
        <w:tc>
          <w:tcPr>
            <w:tcW w:type="dxa" w:w="2088"/>
            <w:vAlign w:val="center"/>
            <w:tcMar>
              <w:top w:w="100" w:type="dxa"/>
              <w:start w:w="120" w:type="dxa"/>
              <w:bottom w:w="100" w:type="dxa"/>
              <w:end w:w="120" w:type="dxa"/>
            </w:tcMar>
          </w:tcPr>
          <w:p>
            <w:pPr>
              <w:spacing w:after="0" w:line="254" w:lineRule="auto"/>
            </w:pPr>
            <w:r>
              <w:rPr>
                <w:rFonts w:ascii="Arial" w:hAnsi="Arial" w:cs="Arial"/>
                <w:color w:val="000000"/>
                <w:sz w:val="15"/>
              </w:rPr>
              <w:t>Avaliação de validade, viabilidade, custo e risco</w:t>
            </w:r>
          </w:p>
        </w:tc>
      </w:tr>
      <w:tr>
        <w:trPr>
          <w:cantSplit w:val="true"/>
        </w:trPr>
        <w:tc>
          <w:tcPr>
            <w:tcW w:type="dxa" w:w="1440"/>
            <w:vAlign w:val="center"/>
            <w:tcMar>
              <w:top w:w="100" w:type="dxa"/>
              <w:start w:w="120" w:type="dxa"/>
              <w:bottom w:w="100" w:type="dxa"/>
              <w:end w:w="120" w:type="dxa"/>
            </w:tcMar>
            <w:shd w:fill="F2F6F9"/>
          </w:tcPr>
          <w:p>
            <w:pPr>
              <w:spacing w:after="0" w:line="254" w:lineRule="auto"/>
            </w:pPr>
            <w:r>
              <w:rPr>
                <w:rFonts w:ascii="Arial" w:hAnsi="Arial" w:cs="Arial"/>
                <w:b/>
                <w:color w:val="000000"/>
                <w:sz w:val="15"/>
              </w:rPr>
              <w:t>2028 a 2029</w:t>
            </w:r>
          </w:p>
        </w:tc>
        <w:tc>
          <w:tcPr>
            <w:tcW w:type="dxa" w:w="2232"/>
            <w:vAlign w:val="center"/>
            <w:tcMar>
              <w:top w:w="100" w:type="dxa"/>
              <w:start w:w="120" w:type="dxa"/>
              <w:bottom w:w="100" w:type="dxa"/>
              <w:end w:w="120" w:type="dxa"/>
            </w:tcMar>
            <w:shd w:fill="F2F6F9"/>
          </w:tcPr>
          <w:p>
            <w:pPr>
              <w:spacing w:after="0" w:line="254" w:lineRule="auto"/>
            </w:pPr>
            <w:r>
              <w:rPr>
                <w:rFonts w:ascii="Arial" w:hAnsi="Arial" w:cs="Arial"/>
                <w:color w:val="000000"/>
                <w:sz w:val="15"/>
              </w:rPr>
              <w:t>Humanity Labs</w:t>
            </w:r>
          </w:p>
        </w:tc>
        <w:tc>
          <w:tcPr>
            <w:tcW w:type="dxa" w:w="4176"/>
            <w:vAlign w:val="center"/>
            <w:tcMar>
              <w:top w:w="100" w:type="dxa"/>
              <w:start w:w="120" w:type="dxa"/>
              <w:bottom w:w="100" w:type="dxa"/>
              <w:end w:w="120" w:type="dxa"/>
            </w:tcMar>
            <w:shd w:fill="F2F6F9"/>
          </w:tcPr>
          <w:p>
            <w:pPr>
              <w:spacing w:after="0" w:line="254" w:lineRule="auto"/>
            </w:pPr>
            <w:r>
              <w:rPr>
                <w:rFonts w:ascii="Arial" w:hAnsi="Arial" w:cs="Arial"/>
                <w:color w:val="000000"/>
                <w:sz w:val="15"/>
              </w:rPr>
              <w:t>Pacotes de política, modelos de implementação, propostas de financiamento e testes de replicação</w:t>
            </w:r>
          </w:p>
        </w:tc>
        <w:tc>
          <w:tcPr>
            <w:tcW w:type="dxa" w:w="2088"/>
            <w:vAlign w:val="center"/>
            <w:tcMar>
              <w:top w:w="100" w:type="dxa"/>
              <w:start w:w="120" w:type="dxa"/>
              <w:bottom w:w="100" w:type="dxa"/>
              <w:end w:w="120" w:type="dxa"/>
            </w:tcMar>
            <w:shd w:fill="F2F6F9"/>
          </w:tcPr>
          <w:p>
            <w:pPr>
              <w:spacing w:after="0" w:line="254" w:lineRule="auto"/>
            </w:pPr>
            <w:r>
              <w:rPr>
                <w:rFonts w:ascii="Arial" w:hAnsi="Arial" w:cs="Arial"/>
                <w:color w:val="000000"/>
                <w:sz w:val="15"/>
              </w:rPr>
              <w:t>Resultados demonstráveis e condições de adaptação</w:t>
            </w:r>
          </w:p>
        </w:tc>
      </w:tr>
      <w:tr>
        <w:trPr>
          <w:cantSplit w:val="true"/>
        </w:trPr>
        <w:tc>
          <w:tcPr>
            <w:tcW w:type="dxa" w:w="1440"/>
            <w:vAlign w:val="center"/>
            <w:tcMar>
              <w:top w:w="100" w:type="dxa"/>
              <w:start w:w="120" w:type="dxa"/>
              <w:bottom w:w="100" w:type="dxa"/>
              <w:end w:w="120" w:type="dxa"/>
            </w:tcMar>
          </w:tcPr>
          <w:p>
            <w:pPr>
              <w:spacing w:after="0" w:line="254" w:lineRule="auto"/>
            </w:pPr>
            <w:r>
              <w:rPr>
                <w:rFonts w:ascii="Arial" w:hAnsi="Arial" w:cs="Arial"/>
                <w:b/>
                <w:color w:val="000000"/>
                <w:sz w:val="15"/>
              </w:rPr>
              <w:t>2029 a 2030</w:t>
            </w:r>
          </w:p>
        </w:tc>
        <w:tc>
          <w:tcPr>
            <w:tcW w:type="dxa" w:w="2232"/>
            <w:vAlign w:val="center"/>
            <w:tcMar>
              <w:top w:w="100" w:type="dxa"/>
              <w:start w:w="120" w:type="dxa"/>
              <w:bottom w:w="100" w:type="dxa"/>
              <w:end w:w="120" w:type="dxa"/>
            </w:tcMar>
          </w:tcPr>
          <w:p>
            <w:pPr>
              <w:spacing w:after="0" w:line="254" w:lineRule="auto"/>
            </w:pPr>
            <w:r>
              <w:rPr>
                <w:rFonts w:ascii="Arial" w:hAnsi="Arial" w:cs="Arial"/>
                <w:color w:val="000000"/>
                <w:sz w:val="15"/>
              </w:rPr>
              <w:t>Expansão responsável</w:t>
            </w:r>
          </w:p>
        </w:tc>
        <w:tc>
          <w:tcPr>
            <w:tcW w:type="dxa" w:w="4176"/>
            <w:vAlign w:val="center"/>
            <w:tcMar>
              <w:top w:w="100" w:type="dxa"/>
              <w:start w:w="120" w:type="dxa"/>
              <w:bottom w:w="100" w:type="dxa"/>
              <w:end w:w="120" w:type="dxa"/>
            </w:tcMar>
          </w:tcPr>
          <w:p>
            <w:pPr>
              <w:spacing w:after="0" w:line="254" w:lineRule="auto"/>
            </w:pPr>
            <w:r>
              <w:rPr>
                <w:rFonts w:ascii="Arial" w:hAnsi="Arial" w:cs="Arial"/>
                <w:color w:val="000000"/>
                <w:sz w:val="15"/>
              </w:rPr>
              <w:t>Relatório anual, rede ampliada, arquivo metodológico e mecanismos públicos de responsabilização</w:t>
            </w:r>
          </w:p>
        </w:tc>
        <w:tc>
          <w:tcPr>
            <w:tcW w:type="dxa" w:w="2088"/>
            <w:vAlign w:val="center"/>
            <w:tcMar>
              <w:top w:w="100" w:type="dxa"/>
              <w:start w:w="120" w:type="dxa"/>
              <w:bottom w:w="100" w:type="dxa"/>
              <w:end w:w="120" w:type="dxa"/>
            </w:tcMar>
          </w:tcPr>
          <w:p>
            <w:pPr>
              <w:spacing w:after="0" w:line="254" w:lineRule="auto"/>
            </w:pPr>
            <w:r>
              <w:rPr>
                <w:rFonts w:ascii="Arial" w:hAnsi="Arial" w:cs="Arial"/>
                <w:color w:val="000000"/>
                <w:sz w:val="15"/>
              </w:rPr>
              <w:t>Revisão independente e decisão sobre escala internacional</w:t>
            </w:r>
          </w:p>
        </w:tc>
      </w:tr>
    </w:tbl>
    <w:p>
      <w:pPr>
        <w:widowControl/>
        <w:spacing w:after="40"/>
      </w:pPr>
    </w:p>
    <w:p>
      <w:pPr>
        <w:pStyle w:val="Heading1"/>
        <w:keepNext/>
        <w:widowControl/>
      </w:pPr>
      <w:r>
        <w:t>18 Declaração final</w:t>
      </w:r>
    </w:p>
    <w:p>
      <w:pPr>
        <w:widowControl/>
        <w:spacing w:after="120" w:line="271" w:lineRule="auto"/>
      </w:pPr>
      <w:r>
        <w:rPr>
          <w:rFonts w:ascii="Arial" w:hAnsi="Arial" w:cs="Arial"/>
          <w:color w:val="000000"/>
          <w:sz w:val="21"/>
        </w:rPr>
        <w:t>O Humanity Pact 2026 propõe que o progresso seja julgado pelas condições reais de vida, pela justiça da sua distribuição, pela voz das pessoas afetadas e pela capacidade de proteger o futuro.</w:t>
      </w:r>
    </w:p>
    <w:p>
      <w:pPr>
        <w:widowControl/>
        <w:spacing w:after="120" w:line="271" w:lineRule="auto"/>
      </w:pPr>
      <w:r>
        <w:rPr>
          <w:rFonts w:ascii="Arial" w:hAnsi="Arial" w:cs="Arial"/>
          <w:color w:val="000000"/>
          <w:sz w:val="21"/>
        </w:rPr>
        <w:t>As entidades que adotam o Pact comprometem-se a não utilizar médias para esconder desigualdades, tecnologia para reduzir direitos, crescimento para justificar exploração, cultura para excluir, sustentabilidade para deslocar danos ou transparência como simples comunicação reputacional.</w:t>
      </w:r>
    </w:p>
    <w:p>
      <w:pPr>
        <w:widowControl/>
        <w:spacing w:after="120" w:line="271" w:lineRule="auto"/>
      </w:pPr>
      <w:r>
        <w:rPr>
          <w:rFonts w:ascii="Arial" w:hAnsi="Arial" w:cs="Arial"/>
          <w:color w:val="000000"/>
          <w:sz w:val="21"/>
        </w:rPr>
        <w:t>O compromisso torna-se credível quando existe um âmbito definido, ação financiada, participação efetiva, evidência rastreável, revisão independente quando necessária e correção perante falhas.</w:t>
      </w:r>
    </w:p>
    <w:p>
      <w:pPr>
        <w:widowControl/>
        <w:spacing w:after="120" w:line="271" w:lineRule="auto"/>
      </w:pPr>
      <w:r>
        <w:rPr>
          <w:rFonts w:ascii="Arial" w:hAnsi="Arial" w:cs="Arial"/>
          <w:color w:val="000000"/>
          <w:sz w:val="21"/>
        </w:rPr>
        <w:t>O Humanity Pact define os compromissos. O Humanity Index mede a mudança. O Humanity Pact Dashboard torna visíveis a evidência, as desigualdades e as responsabilidades.</w:t>
      </w:r>
    </w:p>
    <w:p>
      <w:pPr>
        <w:pStyle w:val="Heading1"/>
        <w:keepNext/>
        <w:pageBreakBefore/>
        <w:widowControl/>
      </w:pPr>
      <w:r>
        <w:t>Anexo A Matriz de avaliação PWE</w:t>
      </w:r>
    </w:p>
    <w:p>
      <w:pPr>
        <w:widowControl/>
        <w:spacing w:after="120" w:line="271" w:lineRule="auto"/>
      </w:pPr>
      <w:r>
        <w:rPr>
          <w:rFonts w:ascii="Arial" w:hAnsi="Arial" w:cs="Arial"/>
          <w:color w:val="000000"/>
          <w:sz w:val="21"/>
        </w:rPr>
        <w:t>A matriz abaixo aplica a orientação PWE, os seis pilares e as três garantias a uma decisão concreta. Deve ser preenchida antes da seleção final de indicadores e atualizada quando o âmbito ou a evidência mudem.</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rPr>
          <w:tblHeader w:val="true"/>
          <w:cantSplit w:val="true"/>
        </w:trPr>
        <w:tc>
          <w:tcPr>
            <w:tcW w:type="dxa" w:w="2376"/>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Campo</w:t>
            </w:r>
          </w:p>
        </w:tc>
        <w:tc>
          <w:tcPr>
            <w:tcW w:type="dxa" w:w="7560"/>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Pergunta de avaliação</w:t>
            </w:r>
          </w:p>
        </w:tc>
      </w:tr>
      <w:tr>
        <w:trPr>
          <w:cantSplit w:val="true"/>
        </w:trPr>
        <w:tc>
          <w:tcPr>
            <w:tcW w:type="dxa" w:w="2376"/>
            <w:vAlign w:val="center"/>
            <w:tcMar>
              <w:top w:w="100" w:type="dxa"/>
              <w:start w:w="120" w:type="dxa"/>
              <w:bottom w:w="100" w:type="dxa"/>
              <w:end w:w="120" w:type="dxa"/>
            </w:tcMar>
          </w:tcPr>
          <w:p>
            <w:pPr>
              <w:spacing w:after="0" w:line="254" w:lineRule="auto"/>
            </w:pPr>
            <w:r>
              <w:rPr>
                <w:rFonts w:ascii="Arial" w:hAnsi="Arial" w:cs="Arial"/>
                <w:b/>
                <w:color w:val="000000"/>
                <w:sz w:val="17"/>
              </w:rPr>
              <w:t>Decisão</w:t>
            </w:r>
          </w:p>
        </w:tc>
        <w:tc>
          <w:tcPr>
            <w:tcW w:type="dxa" w:w="7560"/>
            <w:vAlign w:val="center"/>
            <w:tcMar>
              <w:top w:w="100" w:type="dxa"/>
              <w:start w:w="120" w:type="dxa"/>
              <w:bottom w:w="100" w:type="dxa"/>
              <w:end w:w="120" w:type="dxa"/>
            </w:tcMar>
          </w:tcPr>
          <w:p>
            <w:pPr>
              <w:spacing w:after="0" w:line="254" w:lineRule="auto"/>
            </w:pPr>
            <w:r>
              <w:rPr>
                <w:rFonts w:ascii="Arial" w:hAnsi="Arial" w:cs="Arial"/>
                <w:color w:val="000000"/>
                <w:sz w:val="17"/>
              </w:rPr>
              <w:t>Que política, investimento, programa ou prática está a ser avaliado?</w:t>
            </w:r>
          </w:p>
        </w:tc>
      </w:tr>
      <w:tr>
        <w:trPr>
          <w:cantSplit w:val="true"/>
        </w:trPr>
        <w:tc>
          <w:tcPr>
            <w:tcW w:type="dxa" w:w="2376"/>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Pessoas</w:t>
            </w:r>
          </w:p>
        </w:tc>
        <w:tc>
          <w:tcPr>
            <w:tcW w:type="dxa" w:w="7560"/>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Quem é afetado, quem decide e quem não está representado?</w:t>
            </w:r>
          </w:p>
        </w:tc>
      </w:tr>
      <w:tr>
        <w:trPr>
          <w:cantSplit w:val="true"/>
        </w:trPr>
        <w:tc>
          <w:tcPr>
            <w:tcW w:type="dxa" w:w="2376"/>
            <w:vAlign w:val="center"/>
            <w:tcMar>
              <w:top w:w="100" w:type="dxa"/>
              <w:start w:w="120" w:type="dxa"/>
              <w:bottom w:w="100" w:type="dxa"/>
              <w:end w:w="120" w:type="dxa"/>
            </w:tcMar>
          </w:tcPr>
          <w:p>
            <w:pPr>
              <w:spacing w:after="0" w:line="254" w:lineRule="auto"/>
            </w:pPr>
            <w:r>
              <w:rPr>
                <w:rFonts w:ascii="Arial" w:hAnsi="Arial" w:cs="Arial"/>
                <w:b/>
                <w:color w:val="000000"/>
                <w:sz w:val="17"/>
              </w:rPr>
              <w:t>Bem-estar</w:t>
            </w:r>
          </w:p>
        </w:tc>
        <w:tc>
          <w:tcPr>
            <w:tcW w:type="dxa" w:w="7560"/>
            <w:vAlign w:val="center"/>
            <w:tcMar>
              <w:top w:w="100" w:type="dxa"/>
              <w:start w:w="120" w:type="dxa"/>
              <w:bottom w:w="100" w:type="dxa"/>
              <w:end w:w="120" w:type="dxa"/>
            </w:tcMar>
          </w:tcPr>
          <w:p>
            <w:pPr>
              <w:spacing w:after="0" w:line="254" w:lineRule="auto"/>
            </w:pPr>
            <w:r>
              <w:rPr>
                <w:rFonts w:ascii="Arial" w:hAnsi="Arial" w:cs="Arial"/>
                <w:color w:val="000000"/>
                <w:sz w:val="17"/>
              </w:rPr>
              <w:t>Que condições de vida melhoram ou pioram e para quem?</w:t>
            </w:r>
          </w:p>
        </w:tc>
      </w:tr>
      <w:tr>
        <w:trPr>
          <w:cantSplit w:val="true"/>
        </w:trPr>
        <w:tc>
          <w:tcPr>
            <w:tcW w:type="dxa" w:w="2376"/>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Ambiente</w:t>
            </w:r>
          </w:p>
        </w:tc>
        <w:tc>
          <w:tcPr>
            <w:tcW w:type="dxa" w:w="7560"/>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Que pressões, riscos ou benefícios ecológicos são produzidos e onde?</w:t>
            </w:r>
          </w:p>
        </w:tc>
      </w:tr>
      <w:tr>
        <w:trPr>
          <w:cantSplit w:val="true"/>
        </w:trPr>
        <w:tc>
          <w:tcPr>
            <w:tcW w:type="dxa" w:w="2376"/>
            <w:vAlign w:val="center"/>
            <w:tcMar>
              <w:top w:w="100" w:type="dxa"/>
              <w:start w:w="120" w:type="dxa"/>
              <w:bottom w:w="100" w:type="dxa"/>
              <w:end w:w="120" w:type="dxa"/>
            </w:tcMar>
          </w:tcPr>
          <w:p>
            <w:pPr>
              <w:spacing w:after="0" w:line="254" w:lineRule="auto"/>
            </w:pPr>
            <w:r>
              <w:rPr>
                <w:rFonts w:ascii="Arial" w:hAnsi="Arial" w:cs="Arial"/>
                <w:b/>
                <w:color w:val="000000"/>
                <w:sz w:val="17"/>
              </w:rPr>
              <w:t>Justiça</w:t>
            </w:r>
          </w:p>
        </w:tc>
        <w:tc>
          <w:tcPr>
            <w:tcW w:type="dxa" w:w="7560"/>
            <w:vAlign w:val="center"/>
            <w:tcMar>
              <w:top w:w="100" w:type="dxa"/>
              <w:start w:w="120" w:type="dxa"/>
              <w:bottom w:w="100" w:type="dxa"/>
              <w:end w:w="120" w:type="dxa"/>
            </w:tcMar>
          </w:tcPr>
          <w:p>
            <w:pPr>
              <w:spacing w:after="0" w:line="254" w:lineRule="auto"/>
            </w:pPr>
            <w:r>
              <w:rPr>
                <w:rFonts w:ascii="Arial" w:hAnsi="Arial" w:cs="Arial"/>
                <w:color w:val="000000"/>
                <w:sz w:val="17"/>
              </w:rPr>
              <w:t>Como se distribuem benefícios, custos, riscos e direitos?</w:t>
            </w:r>
          </w:p>
        </w:tc>
      </w:tr>
      <w:tr>
        <w:trPr>
          <w:cantSplit w:val="true"/>
        </w:trPr>
        <w:tc>
          <w:tcPr>
            <w:tcW w:type="dxa" w:w="2376"/>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Poder</w:t>
            </w:r>
          </w:p>
        </w:tc>
        <w:tc>
          <w:tcPr>
            <w:tcW w:type="dxa" w:w="7560"/>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Quem controla os recursos, os dados, a narrativa e a possibilidade de contestação?</w:t>
            </w:r>
          </w:p>
        </w:tc>
      </w:tr>
      <w:tr>
        <w:trPr>
          <w:cantSplit w:val="true"/>
        </w:trPr>
        <w:tc>
          <w:tcPr>
            <w:tcW w:type="dxa" w:w="2376"/>
            <w:vAlign w:val="center"/>
            <w:tcMar>
              <w:top w:w="100" w:type="dxa"/>
              <w:start w:w="120" w:type="dxa"/>
              <w:bottom w:w="100" w:type="dxa"/>
              <w:end w:w="120" w:type="dxa"/>
            </w:tcMar>
          </w:tcPr>
          <w:p>
            <w:pPr>
              <w:spacing w:after="0" w:line="254" w:lineRule="auto"/>
            </w:pPr>
            <w:r>
              <w:rPr>
                <w:rFonts w:ascii="Arial" w:hAnsi="Arial" w:cs="Arial"/>
                <w:b/>
                <w:color w:val="000000"/>
                <w:sz w:val="17"/>
              </w:rPr>
              <w:t>Cultura</w:t>
            </w:r>
          </w:p>
        </w:tc>
        <w:tc>
          <w:tcPr>
            <w:tcW w:type="dxa" w:w="7560"/>
            <w:vAlign w:val="center"/>
            <w:tcMar>
              <w:top w:w="100" w:type="dxa"/>
              <w:start w:w="120" w:type="dxa"/>
              <w:bottom w:w="100" w:type="dxa"/>
              <w:end w:w="120" w:type="dxa"/>
            </w:tcMar>
          </w:tcPr>
          <w:p>
            <w:pPr>
              <w:spacing w:after="0" w:line="254" w:lineRule="auto"/>
            </w:pPr>
            <w:r>
              <w:rPr>
                <w:rFonts w:ascii="Arial" w:hAnsi="Arial" w:cs="Arial"/>
                <w:color w:val="000000"/>
                <w:sz w:val="17"/>
              </w:rPr>
              <w:t>Que identidades, memórias, línguas e conhecimentos são reconhecidos ou apagados?</w:t>
            </w:r>
          </w:p>
        </w:tc>
      </w:tr>
      <w:tr>
        <w:trPr>
          <w:cantSplit w:val="true"/>
        </w:trPr>
        <w:tc>
          <w:tcPr>
            <w:tcW w:type="dxa" w:w="2376"/>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Esperança e agência</w:t>
            </w:r>
          </w:p>
        </w:tc>
        <w:tc>
          <w:tcPr>
            <w:tcW w:type="dxa" w:w="7560"/>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A decisão aumenta pertença, sentido e capacidade de influenciar o futuro?</w:t>
            </w:r>
          </w:p>
        </w:tc>
      </w:tr>
      <w:tr>
        <w:trPr>
          <w:cantSplit w:val="true"/>
        </w:trPr>
        <w:tc>
          <w:tcPr>
            <w:tcW w:type="dxa" w:w="2376"/>
            <w:vAlign w:val="center"/>
            <w:tcMar>
              <w:top w:w="100" w:type="dxa"/>
              <w:start w:w="120" w:type="dxa"/>
              <w:bottom w:w="100" w:type="dxa"/>
              <w:end w:w="120" w:type="dxa"/>
            </w:tcMar>
          </w:tcPr>
          <w:p>
            <w:pPr>
              <w:spacing w:after="0" w:line="254" w:lineRule="auto"/>
            </w:pPr>
            <w:r>
              <w:rPr>
                <w:rFonts w:ascii="Arial" w:hAnsi="Arial" w:cs="Arial"/>
                <w:b/>
                <w:color w:val="000000"/>
                <w:sz w:val="17"/>
              </w:rPr>
              <w:t>Futuro</w:t>
            </w:r>
          </w:p>
        </w:tc>
        <w:tc>
          <w:tcPr>
            <w:tcW w:type="dxa" w:w="7560"/>
            <w:vAlign w:val="center"/>
            <w:tcMar>
              <w:top w:w="100" w:type="dxa"/>
              <w:start w:w="120" w:type="dxa"/>
              <w:bottom w:w="100" w:type="dxa"/>
              <w:end w:w="120" w:type="dxa"/>
            </w:tcMar>
          </w:tcPr>
          <w:p>
            <w:pPr>
              <w:spacing w:after="0" w:line="254" w:lineRule="auto"/>
            </w:pPr>
            <w:r>
              <w:rPr>
                <w:rFonts w:ascii="Arial" w:hAnsi="Arial" w:cs="Arial"/>
                <w:color w:val="000000"/>
                <w:sz w:val="17"/>
              </w:rPr>
              <w:t>Que efeitos sociais, ecológicos, fiscais, tecnológicos e democráticos podem surgir a longo prazo?</w:t>
            </w:r>
          </w:p>
        </w:tc>
      </w:tr>
      <w:tr>
        <w:trPr>
          <w:cantSplit w:val="true"/>
        </w:trPr>
        <w:tc>
          <w:tcPr>
            <w:tcW w:type="dxa" w:w="2376"/>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Evidência</w:t>
            </w:r>
          </w:p>
        </w:tc>
        <w:tc>
          <w:tcPr>
            <w:tcW w:type="dxa" w:w="7560"/>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Quais são as fontes, a cobertura, a incerteza e os dados em falta?</w:t>
            </w:r>
          </w:p>
        </w:tc>
      </w:tr>
      <w:tr>
        <w:trPr>
          <w:cantSplit w:val="true"/>
        </w:trPr>
        <w:tc>
          <w:tcPr>
            <w:tcW w:type="dxa" w:w="2376"/>
            <w:vAlign w:val="center"/>
            <w:tcMar>
              <w:top w:w="100" w:type="dxa"/>
              <w:start w:w="120" w:type="dxa"/>
              <w:bottom w:w="100" w:type="dxa"/>
              <w:end w:w="120" w:type="dxa"/>
            </w:tcMar>
          </w:tcPr>
          <w:p>
            <w:pPr>
              <w:spacing w:after="0" w:line="254" w:lineRule="auto"/>
            </w:pPr>
            <w:r>
              <w:rPr>
                <w:rFonts w:ascii="Arial" w:hAnsi="Arial" w:cs="Arial"/>
                <w:b/>
                <w:color w:val="000000"/>
                <w:sz w:val="17"/>
              </w:rPr>
              <w:t>Responsabilidade</w:t>
            </w:r>
          </w:p>
        </w:tc>
        <w:tc>
          <w:tcPr>
            <w:tcW w:type="dxa" w:w="7560"/>
            <w:vAlign w:val="center"/>
            <w:tcMar>
              <w:top w:w="100" w:type="dxa"/>
              <w:start w:w="120" w:type="dxa"/>
              <w:bottom w:w="100" w:type="dxa"/>
              <w:end w:w="120" w:type="dxa"/>
            </w:tcMar>
          </w:tcPr>
          <w:p>
            <w:pPr>
              <w:spacing w:after="0" w:line="254" w:lineRule="auto"/>
            </w:pPr>
            <w:r>
              <w:rPr>
                <w:rFonts w:ascii="Arial" w:hAnsi="Arial" w:cs="Arial"/>
                <w:color w:val="000000"/>
                <w:sz w:val="17"/>
              </w:rPr>
              <w:t>Quem deve agir, com que recursos, até quando, e como será feita a correção?</w:t>
            </w:r>
          </w:p>
        </w:tc>
      </w:tr>
    </w:tbl>
    <w:p>
      <w:pPr>
        <w:widowControl/>
        <w:spacing w:after="40"/>
      </w:pPr>
    </w:p>
    <w:p>
      <w:pPr>
        <w:pStyle w:val="Heading1"/>
        <w:keepNext/>
        <w:widowControl/>
      </w:pPr>
      <w:r>
        <w:t>Anexo B Perfil institucional mínimo</w:t>
      </w:r>
    </w:p>
    <w:p>
      <w:pPr>
        <w:widowControl/>
        <w:spacing w:after="120" w:line="271" w:lineRule="auto"/>
      </w:pPr>
      <w:r>
        <w:rPr>
          <w:rFonts w:ascii="Arial" w:hAnsi="Arial" w:cs="Arial"/>
          <w:color w:val="000000"/>
          <w:sz w:val="21"/>
        </w:rPr>
        <w:t>Os perfis de governos, empresas, organizações da sociedade civil, universidades e instituições de investigação devem seguir um conjunto mínimo comum de campos.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rPr>
          <w:tblHeader w:val="true"/>
          <w:cantSplit w:val="true"/>
        </w:trPr>
        <w:tc>
          <w:tcPr>
            <w:tcW w:type="dxa" w:w="3311"/>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Campo obrigatório</w:t>
            </w:r>
          </w:p>
        </w:tc>
        <w:tc>
          <w:tcPr>
            <w:tcW w:type="dxa" w:w="6623"/>
            <w:shd w:fill="17324D"/>
            <w:tcMar>
              <w:top w:w="110" w:type="dxa"/>
              <w:start w:w="120" w:type="dxa"/>
              <w:bottom w:w="110" w:type="dxa"/>
              <w:end w:w="120" w:type="dxa"/>
            </w:tcMar>
            <w:vAlign w:val="center"/>
          </w:tcPr>
          <w:p>
            <w:pPr>
              <w:spacing w:after="0" w:line="252" w:lineRule="auto"/>
              <w:jc w:val="left"/>
            </w:pPr>
            <w:r>
              <w:rPr>
                <w:rFonts w:ascii="Arial" w:hAnsi="Arial" w:cs="Arial"/>
                <w:b/>
                <w:color w:val="FFFFFF"/>
                <w:sz w:val="18"/>
              </w:rPr>
              <w:t>Finalidade</w:t>
            </w:r>
          </w:p>
        </w:tc>
      </w:tr>
      <w:tr>
        <w:trPr>
          <w:cantSplit w:val="true"/>
        </w:trPr>
        <w:tc>
          <w:tcPr>
            <w:tcW w:type="dxa" w:w="3311"/>
            <w:vAlign w:val="center"/>
            <w:tcMar>
              <w:top w:w="100" w:type="dxa"/>
              <w:start w:w="120" w:type="dxa"/>
              <w:bottom w:w="100" w:type="dxa"/>
              <w:end w:w="120" w:type="dxa"/>
            </w:tcMar>
          </w:tcPr>
          <w:p>
            <w:pPr>
              <w:spacing w:after="0" w:line="254" w:lineRule="auto"/>
            </w:pPr>
            <w:r>
              <w:rPr>
                <w:rFonts w:ascii="Arial" w:hAnsi="Arial" w:cs="Arial"/>
                <w:b/>
                <w:color w:val="000000"/>
                <w:sz w:val="17"/>
              </w:rPr>
              <w:t>Entidade e responsável</w:t>
            </w:r>
          </w:p>
        </w:tc>
        <w:tc>
          <w:tcPr>
            <w:tcW w:type="dxa" w:w="6623"/>
            <w:vAlign w:val="center"/>
            <w:tcMar>
              <w:top w:w="100" w:type="dxa"/>
              <w:start w:w="120" w:type="dxa"/>
              <w:bottom w:w="100" w:type="dxa"/>
              <w:end w:w="120" w:type="dxa"/>
            </w:tcMar>
          </w:tcPr>
          <w:p>
            <w:pPr>
              <w:spacing w:after="0" w:line="254" w:lineRule="auto"/>
            </w:pPr>
            <w:r>
              <w:rPr>
                <w:rFonts w:ascii="Arial" w:hAnsi="Arial" w:cs="Arial"/>
                <w:color w:val="000000"/>
                <w:sz w:val="17"/>
              </w:rPr>
              <w:t>Identificar quem assume o compromisso e quem responde pela execução</w:t>
            </w:r>
          </w:p>
        </w:tc>
      </w:tr>
      <w:tr>
        <w:trPr>
          <w:cantSplit w:val="true"/>
        </w:trPr>
        <w:tc>
          <w:tcPr>
            <w:tcW w:type="dxa" w:w="3311"/>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Âmbito</w:t>
            </w:r>
          </w:p>
        </w:tc>
        <w:tc>
          <w:tcPr>
            <w:tcW w:type="dxa" w:w="6623"/>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Definir política, programa, território, população, cadeia de valor ou operação abrangida</w:t>
            </w:r>
          </w:p>
        </w:tc>
      </w:tr>
      <w:tr>
        <w:trPr>
          <w:cantSplit w:val="true"/>
        </w:trPr>
        <w:tc>
          <w:tcPr>
            <w:tcW w:type="dxa" w:w="3311"/>
            <w:vAlign w:val="center"/>
            <w:tcMar>
              <w:top w:w="100" w:type="dxa"/>
              <w:start w:w="120" w:type="dxa"/>
              <w:bottom w:w="100" w:type="dxa"/>
              <w:end w:w="120" w:type="dxa"/>
            </w:tcMar>
          </w:tcPr>
          <w:p>
            <w:pPr>
              <w:spacing w:after="0" w:line="254" w:lineRule="auto"/>
            </w:pPr>
            <w:r>
              <w:rPr>
                <w:rFonts w:ascii="Arial" w:hAnsi="Arial" w:cs="Arial"/>
                <w:b/>
                <w:color w:val="000000"/>
                <w:sz w:val="17"/>
              </w:rPr>
              <w:t>Linha de base</w:t>
            </w:r>
          </w:p>
        </w:tc>
        <w:tc>
          <w:tcPr>
            <w:tcW w:type="dxa" w:w="6623"/>
            <w:vAlign w:val="center"/>
            <w:tcMar>
              <w:top w:w="100" w:type="dxa"/>
              <w:start w:w="120" w:type="dxa"/>
              <w:bottom w:w="100" w:type="dxa"/>
              <w:end w:w="120" w:type="dxa"/>
            </w:tcMar>
          </w:tcPr>
          <w:p>
            <w:pPr>
              <w:spacing w:after="0" w:line="254" w:lineRule="auto"/>
            </w:pPr>
            <w:r>
              <w:rPr>
                <w:rFonts w:ascii="Arial" w:hAnsi="Arial" w:cs="Arial"/>
                <w:color w:val="000000"/>
                <w:sz w:val="17"/>
              </w:rPr>
              <w:t>Estabelecer a situação inicial e a data de referência</w:t>
            </w:r>
          </w:p>
        </w:tc>
      </w:tr>
      <w:tr>
        <w:trPr>
          <w:cantSplit w:val="true"/>
        </w:trPr>
        <w:tc>
          <w:tcPr>
            <w:tcW w:type="dxa" w:w="3311"/>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Meta e prazo</w:t>
            </w:r>
          </w:p>
        </w:tc>
        <w:tc>
          <w:tcPr>
            <w:tcW w:type="dxa" w:w="6623"/>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Permitir uma avaliação objetiva da execução</w:t>
            </w:r>
          </w:p>
        </w:tc>
      </w:tr>
      <w:tr>
        <w:trPr>
          <w:cantSplit w:val="true"/>
        </w:trPr>
        <w:tc>
          <w:tcPr>
            <w:tcW w:type="dxa" w:w="3311"/>
            <w:vAlign w:val="center"/>
            <w:tcMar>
              <w:top w:w="100" w:type="dxa"/>
              <w:start w:w="120" w:type="dxa"/>
              <w:bottom w:w="100" w:type="dxa"/>
              <w:end w:w="120" w:type="dxa"/>
            </w:tcMar>
          </w:tcPr>
          <w:p>
            <w:pPr>
              <w:spacing w:after="0" w:line="254" w:lineRule="auto"/>
            </w:pPr>
            <w:r>
              <w:rPr>
                <w:rFonts w:ascii="Arial" w:hAnsi="Arial" w:cs="Arial"/>
                <w:b/>
                <w:color w:val="000000"/>
                <w:sz w:val="17"/>
              </w:rPr>
              <w:t>Pilares e garantias</w:t>
            </w:r>
          </w:p>
        </w:tc>
        <w:tc>
          <w:tcPr>
            <w:tcW w:type="dxa" w:w="6623"/>
            <w:vAlign w:val="center"/>
            <w:tcMar>
              <w:top w:w="100" w:type="dxa"/>
              <w:start w:w="120" w:type="dxa"/>
              <w:bottom w:w="100" w:type="dxa"/>
              <w:end w:w="120" w:type="dxa"/>
            </w:tcMar>
          </w:tcPr>
          <w:p>
            <w:pPr>
              <w:spacing w:after="0" w:line="254" w:lineRule="auto"/>
            </w:pPr>
            <w:r>
              <w:rPr>
                <w:rFonts w:ascii="Arial" w:hAnsi="Arial" w:cs="Arial"/>
                <w:color w:val="000000"/>
                <w:sz w:val="17"/>
              </w:rPr>
              <w:t>Explicitar a relação com a arquitetura do Pact</w:t>
            </w:r>
          </w:p>
        </w:tc>
      </w:tr>
      <w:tr>
        <w:trPr>
          <w:cantSplit w:val="true"/>
        </w:trPr>
        <w:tc>
          <w:tcPr>
            <w:tcW w:type="dxa" w:w="3311"/>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Titulares de direitos e grupos em risco</w:t>
            </w:r>
          </w:p>
        </w:tc>
        <w:tc>
          <w:tcPr>
            <w:tcW w:type="dxa" w:w="6623"/>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Identificar quem pode beneficiar, suportar custos ou permanecer excluído</w:t>
            </w:r>
          </w:p>
        </w:tc>
      </w:tr>
      <w:tr>
        <w:trPr>
          <w:cantSplit w:val="true"/>
        </w:trPr>
        <w:tc>
          <w:tcPr>
            <w:tcW w:type="dxa" w:w="3311"/>
            <w:vAlign w:val="center"/>
            <w:tcMar>
              <w:top w:w="100" w:type="dxa"/>
              <w:start w:w="120" w:type="dxa"/>
              <w:bottom w:w="100" w:type="dxa"/>
              <w:end w:w="120" w:type="dxa"/>
            </w:tcMar>
          </w:tcPr>
          <w:p>
            <w:pPr>
              <w:spacing w:after="0" w:line="254" w:lineRule="auto"/>
            </w:pPr>
            <w:r>
              <w:rPr>
                <w:rFonts w:ascii="Arial" w:hAnsi="Arial" w:cs="Arial"/>
                <w:b/>
                <w:color w:val="000000"/>
                <w:sz w:val="17"/>
              </w:rPr>
              <w:t>Recursos</w:t>
            </w:r>
          </w:p>
        </w:tc>
        <w:tc>
          <w:tcPr>
            <w:tcW w:type="dxa" w:w="6623"/>
            <w:vAlign w:val="center"/>
            <w:tcMar>
              <w:top w:w="100" w:type="dxa"/>
              <w:start w:w="120" w:type="dxa"/>
              <w:bottom w:w="100" w:type="dxa"/>
              <w:end w:w="120" w:type="dxa"/>
            </w:tcMar>
          </w:tcPr>
          <w:p>
            <w:pPr>
              <w:spacing w:after="0" w:line="254" w:lineRule="auto"/>
            </w:pPr>
            <w:r>
              <w:rPr>
                <w:rFonts w:ascii="Arial" w:hAnsi="Arial" w:cs="Arial"/>
                <w:color w:val="000000"/>
                <w:sz w:val="17"/>
              </w:rPr>
              <w:t>Publicar financiamento, capacidades e responsabilidades comprometidas</w:t>
            </w:r>
          </w:p>
        </w:tc>
      </w:tr>
      <w:tr>
        <w:trPr>
          <w:cantSplit w:val="true"/>
        </w:trPr>
        <w:tc>
          <w:tcPr>
            <w:tcW w:type="dxa" w:w="3311"/>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Indicadores e fontes</w:t>
            </w:r>
          </w:p>
        </w:tc>
        <w:tc>
          <w:tcPr>
            <w:tcW w:type="dxa" w:w="6623"/>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Tornar a medição rastreável e atualizável</w:t>
            </w:r>
          </w:p>
        </w:tc>
      </w:tr>
      <w:tr>
        <w:trPr>
          <w:cantSplit w:val="true"/>
        </w:trPr>
        <w:tc>
          <w:tcPr>
            <w:tcW w:type="dxa" w:w="3311"/>
            <w:vAlign w:val="center"/>
            <w:tcMar>
              <w:top w:w="100" w:type="dxa"/>
              <w:start w:w="120" w:type="dxa"/>
              <w:bottom w:w="100" w:type="dxa"/>
              <w:end w:w="120" w:type="dxa"/>
            </w:tcMar>
          </w:tcPr>
          <w:p>
            <w:pPr>
              <w:spacing w:after="0" w:line="254" w:lineRule="auto"/>
            </w:pPr>
            <w:r>
              <w:rPr>
                <w:rFonts w:ascii="Arial" w:hAnsi="Arial" w:cs="Arial"/>
                <w:b/>
                <w:color w:val="000000"/>
                <w:sz w:val="17"/>
              </w:rPr>
              <w:t>Estado da evidência</w:t>
            </w:r>
          </w:p>
        </w:tc>
        <w:tc>
          <w:tcPr>
            <w:tcW w:type="dxa" w:w="6623"/>
            <w:vAlign w:val="center"/>
            <w:tcMar>
              <w:top w:w="100" w:type="dxa"/>
              <w:start w:w="120" w:type="dxa"/>
              <w:bottom w:w="100" w:type="dxa"/>
              <w:end w:w="120" w:type="dxa"/>
            </w:tcMar>
          </w:tcPr>
          <w:p>
            <w:pPr>
              <w:spacing w:after="0" w:line="254" w:lineRule="auto"/>
            </w:pPr>
            <w:r>
              <w:rPr>
                <w:rFonts w:ascii="Arial" w:hAnsi="Arial" w:cs="Arial"/>
                <w:color w:val="000000"/>
                <w:sz w:val="17"/>
              </w:rPr>
              <w:t>Distinguir declaração, documentação, revisão e verificação</w:t>
            </w:r>
          </w:p>
        </w:tc>
      </w:tr>
      <w:tr>
        <w:trPr>
          <w:cantSplit w:val="true"/>
        </w:trPr>
        <w:tc>
          <w:tcPr>
            <w:tcW w:type="dxa" w:w="3311"/>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Resultados e desigualdades</w:t>
            </w:r>
          </w:p>
        </w:tc>
        <w:tc>
          <w:tcPr>
            <w:tcW w:type="dxa" w:w="6623"/>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Mostrar médias, distribuição, lacunas e efeitos não pretendidos</w:t>
            </w:r>
          </w:p>
        </w:tc>
      </w:tr>
      <w:tr>
        <w:trPr>
          <w:cantSplit w:val="true"/>
        </w:trPr>
        <w:tc>
          <w:tcPr>
            <w:tcW w:type="dxa" w:w="3311"/>
            <w:vAlign w:val="center"/>
            <w:tcMar>
              <w:top w:w="100" w:type="dxa"/>
              <w:start w:w="120" w:type="dxa"/>
              <w:bottom w:w="100" w:type="dxa"/>
              <w:end w:w="120" w:type="dxa"/>
            </w:tcMar>
          </w:tcPr>
          <w:p>
            <w:pPr>
              <w:spacing w:after="0" w:line="254" w:lineRule="auto"/>
            </w:pPr>
            <w:r>
              <w:rPr>
                <w:rFonts w:ascii="Arial" w:hAnsi="Arial" w:cs="Arial"/>
                <w:b/>
                <w:color w:val="000000"/>
                <w:sz w:val="17"/>
              </w:rPr>
              <w:t>Reclamação e reparação</w:t>
            </w:r>
          </w:p>
        </w:tc>
        <w:tc>
          <w:tcPr>
            <w:tcW w:type="dxa" w:w="6623"/>
            <w:vAlign w:val="center"/>
            <w:tcMar>
              <w:top w:w="100" w:type="dxa"/>
              <w:start w:w="120" w:type="dxa"/>
              <w:bottom w:w="100" w:type="dxa"/>
              <w:end w:w="120" w:type="dxa"/>
            </w:tcMar>
          </w:tcPr>
          <w:p>
            <w:pPr>
              <w:spacing w:after="0" w:line="254" w:lineRule="auto"/>
            </w:pPr>
            <w:r>
              <w:rPr>
                <w:rFonts w:ascii="Arial" w:hAnsi="Arial" w:cs="Arial"/>
                <w:color w:val="000000"/>
                <w:sz w:val="17"/>
              </w:rPr>
              <w:t>Indicar como uma pessoa ou comunidade pode contestar, obter resposta e procurar correção</w:t>
            </w:r>
          </w:p>
        </w:tc>
      </w:tr>
      <w:tr>
        <w:trPr>
          <w:cantSplit w:val="true"/>
        </w:trPr>
        <w:tc>
          <w:tcPr>
            <w:tcW w:type="dxa" w:w="3311"/>
            <w:vAlign w:val="center"/>
            <w:tcMar>
              <w:top w:w="100" w:type="dxa"/>
              <w:start w:w="120" w:type="dxa"/>
              <w:bottom w:w="100" w:type="dxa"/>
              <w:end w:w="120" w:type="dxa"/>
            </w:tcMar>
            <w:shd w:fill="F2F6F9"/>
          </w:tcPr>
          <w:p>
            <w:pPr>
              <w:spacing w:after="0" w:line="254" w:lineRule="auto"/>
            </w:pPr>
            <w:r>
              <w:rPr>
                <w:rFonts w:ascii="Arial" w:hAnsi="Arial" w:cs="Arial"/>
                <w:b/>
                <w:color w:val="000000"/>
                <w:sz w:val="17"/>
              </w:rPr>
              <w:t>Histórico de versões</w:t>
            </w:r>
          </w:p>
        </w:tc>
        <w:tc>
          <w:tcPr>
            <w:tcW w:type="dxa" w:w="6623"/>
            <w:vAlign w:val="center"/>
            <w:tcMar>
              <w:top w:w="100" w:type="dxa"/>
              <w:start w:w="120" w:type="dxa"/>
              <w:bottom w:w="100" w:type="dxa"/>
              <w:end w:w="120" w:type="dxa"/>
            </w:tcMar>
            <w:shd w:fill="F2F6F9"/>
          </w:tcPr>
          <w:p>
            <w:pPr>
              <w:spacing w:after="0" w:line="254" w:lineRule="auto"/>
            </w:pPr>
            <w:r>
              <w:rPr>
                <w:rFonts w:ascii="Arial" w:hAnsi="Arial" w:cs="Arial"/>
                <w:color w:val="000000"/>
                <w:sz w:val="17"/>
              </w:rPr>
              <w:t>Registar alterações, datas, responsáveis e motivos</w:t>
            </w:r>
          </w:p>
        </w:tc>
      </w:tr>
    </w:tbl>
    <w:p>
      <w:pPr>
        <w:widowControl/>
        <w:spacing w:after="40"/>
      </w:pPr>
    </w:p>
    <w:p>
      <w:pPr>
        <w:pStyle w:val="Heading1"/>
        <w:keepNext/>
        <w:widowControl/>
      </w:pPr>
      <w:r>
        <w:t>Anexo C Referências internacionais</w:t>
      </w:r>
    </w:p>
    <w:p>
      <w:pPr>
        <w:widowControl/>
        <w:spacing w:after="120" w:line="271" w:lineRule="auto"/>
      </w:pPr>
      <w:r>
        <w:rPr>
          <w:rFonts w:ascii="Arial" w:hAnsi="Arial" w:cs="Arial"/>
          <w:color w:val="000000"/>
          <w:sz w:val="21"/>
        </w:rPr>
        <w:t>O Humanity Pact deve ser interpretado em coerência com os instrumentos aplicáveis em cada jurisdição. Não substitui obrigações jurídicas e não afirma equivalência formal com os instrumentos abaixo.</w:t>
      </w:r>
    </w:p>
    <w:p>
      <w:pPr>
        <w:pStyle w:val="ListBullet"/>
        <w:widowControl/>
        <w:spacing w:after="64" w:line="271" w:lineRule="auto"/>
        <w:ind w:left="374" w:hanging="230"/>
      </w:pPr>
      <w:hyperlink r:id="rId10">
        <w:r>
          <w:rPr>
            <w:rFonts w:ascii="Arial" w:hAnsi="Arial"/>
            <w:color w:val="17324D"/>
            <w:u w:val="single"/>
          </w:rPr>
          <w:t>Declaração Universal dos Direitos Humanos</w:t>
        </w:r>
      </w:hyperlink>
    </w:p>
    <w:p>
      <w:pPr>
        <w:pStyle w:val="ListBullet"/>
        <w:widowControl/>
        <w:spacing w:after="64" w:line="271" w:lineRule="auto"/>
        <w:ind w:left="374" w:hanging="230"/>
      </w:pPr>
      <w:hyperlink r:id="rId11">
        <w:r>
          <w:rPr>
            <w:rFonts w:ascii="Arial" w:hAnsi="Arial"/>
            <w:color w:val="17324D"/>
            <w:u w:val="single"/>
          </w:rPr>
          <w:t>Pacto Internacional sobre os Direitos Civis e Políticos</w:t>
        </w:r>
      </w:hyperlink>
    </w:p>
    <w:p>
      <w:pPr>
        <w:pStyle w:val="ListBullet"/>
        <w:widowControl/>
        <w:spacing w:after="64" w:line="271" w:lineRule="auto"/>
        <w:ind w:left="374" w:hanging="230"/>
      </w:pPr>
      <w:hyperlink r:id="rId12">
        <w:r>
          <w:rPr>
            <w:rFonts w:ascii="Arial" w:hAnsi="Arial"/>
            <w:color w:val="17324D"/>
            <w:u w:val="single"/>
          </w:rPr>
          <w:t>Pacto Internacional sobre os Direitos Económicos Sociais e Culturais</w:t>
        </w:r>
      </w:hyperlink>
    </w:p>
    <w:p>
      <w:pPr>
        <w:pStyle w:val="ListBullet"/>
        <w:widowControl/>
        <w:spacing w:after="64" w:line="271" w:lineRule="auto"/>
        <w:ind w:left="374" w:hanging="230"/>
      </w:pPr>
      <w:hyperlink r:id="rId13">
        <w:r>
          <w:rPr>
            <w:rFonts w:ascii="Arial" w:hAnsi="Arial"/>
            <w:color w:val="17324D"/>
            <w:u w:val="single"/>
          </w:rPr>
          <w:t>Convenção sobre os Direitos das Pessoas com Deficiência</w:t>
        </w:r>
      </w:hyperlink>
    </w:p>
    <w:p>
      <w:pPr>
        <w:pStyle w:val="ListBullet"/>
        <w:widowControl/>
        <w:spacing w:after="64" w:line="271" w:lineRule="auto"/>
        <w:ind w:left="374" w:hanging="230"/>
      </w:pPr>
      <w:hyperlink r:id="rId14">
        <w:r>
          <w:rPr>
            <w:rFonts w:ascii="Arial" w:hAnsi="Arial"/>
            <w:color w:val="17324D"/>
            <w:u w:val="single"/>
          </w:rPr>
          <w:t>Declaração das Nações Unidas sobre os Direitos dos Povos Indígenas</w:t>
        </w:r>
      </w:hyperlink>
    </w:p>
    <w:p>
      <w:pPr>
        <w:pStyle w:val="ListBullet"/>
        <w:widowControl/>
        <w:spacing w:after="64" w:line="271" w:lineRule="auto"/>
        <w:ind w:left="374" w:hanging="230"/>
      </w:pPr>
      <w:hyperlink r:id="rId15">
        <w:r>
          <w:rPr>
            <w:rFonts w:ascii="Arial" w:hAnsi="Arial"/>
            <w:color w:val="17324D"/>
            <w:u w:val="single"/>
          </w:rPr>
          <w:t>Princípios Orientadores das Nações Unidas sobre Empresas e Direitos Humanos</w:t>
        </w:r>
      </w:hyperlink>
    </w:p>
    <w:p>
      <w:pPr>
        <w:pStyle w:val="ListBullet"/>
        <w:widowControl/>
        <w:spacing w:after="64" w:line="271" w:lineRule="auto"/>
        <w:ind w:left="374" w:hanging="230"/>
      </w:pPr>
      <w:hyperlink r:id="rId16">
        <w:r>
          <w:rPr>
            <w:rFonts w:ascii="Arial" w:hAnsi="Arial"/>
            <w:color w:val="17324D"/>
            <w:u w:val="single"/>
          </w:rPr>
          <w:t>Agenda 2030 e Objetivos de Desenvolvimento Sustentável</w:t>
        </w:r>
      </w:hyperlink>
    </w:p>
    <w:p>
      <w:pPr>
        <w:pStyle w:val="ListBullet"/>
        <w:widowControl/>
        <w:spacing w:after="64" w:line="271" w:lineRule="auto"/>
        <w:ind w:left="374" w:hanging="230"/>
      </w:pPr>
      <w:hyperlink r:id="rId17">
        <w:r>
          <w:rPr>
            <w:rFonts w:ascii="Arial" w:hAnsi="Arial"/>
            <w:color w:val="17324D"/>
            <w:u w:val="single"/>
          </w:rPr>
          <w:t>Acordo de Paris</w:t>
        </w:r>
      </w:hyperlink>
    </w:p>
    <w:p>
      <w:pPr>
        <w:pStyle w:val="ListBullet"/>
        <w:widowControl/>
        <w:spacing w:after="64" w:line="271" w:lineRule="auto"/>
        <w:ind w:left="374" w:hanging="230"/>
      </w:pPr>
      <w:hyperlink r:id="rId18">
        <w:r>
          <w:rPr>
            <w:rFonts w:ascii="Arial" w:hAnsi="Arial"/>
            <w:color w:val="17324D"/>
            <w:u w:val="single"/>
          </w:rPr>
          <w:t>Quadro Global de Biodiversidade de Kunming Montreal</w:t>
        </w:r>
      </w:hyperlink>
    </w:p>
    <w:p>
      <w:pPr>
        <w:pStyle w:val="ListBullet"/>
        <w:widowControl/>
        <w:spacing w:after="64" w:line="271" w:lineRule="auto"/>
        <w:ind w:left="374" w:hanging="230"/>
      </w:pPr>
      <w:hyperlink r:id="rId19">
        <w:r>
          <w:rPr>
            <w:rFonts w:ascii="Arial" w:hAnsi="Arial"/>
            <w:color w:val="17324D"/>
            <w:u w:val="single"/>
          </w:rPr>
          <w:t>Recomendação da UNESCO sobre a Ética da Inteligência Artificial</w:t>
        </w:r>
      </w:hyperlink>
    </w:p>
    <w:p>
      <w:pPr>
        <w:pStyle w:val="ListBullet"/>
        <w:widowControl/>
        <w:spacing w:after="64" w:line="271" w:lineRule="auto"/>
        <w:ind w:left="374" w:hanging="230"/>
      </w:pPr>
      <w:hyperlink r:id="rId20">
        <w:r>
          <w:rPr>
            <w:rFonts w:ascii="Arial" w:hAnsi="Arial"/>
            <w:color w:val="17324D"/>
            <w:u w:val="single"/>
          </w:rPr>
          <w:t>Agenda 2063 da União Africana</w:t>
        </w:r>
      </w:hyperlink>
    </w:p>
    <w:p>
      <w:pPr>
        <w:pStyle w:val="ListBullet"/>
        <w:widowControl/>
        <w:spacing w:after="64" w:line="271" w:lineRule="auto"/>
        <w:ind w:left="374" w:hanging="230"/>
      </w:pPr>
      <w:hyperlink r:id="rId21">
        <w:r>
          <w:rPr>
            <w:rFonts w:ascii="Arial" w:hAnsi="Arial"/>
            <w:color w:val="17324D"/>
            <w:u w:val="single"/>
          </w:rPr>
          <w:t>Pacto para o Futuro e Declaração sobre as Gerações Futuras</w:t>
        </w:r>
      </w:hyperlink>
    </w:p>
    <w:p>
      <w:pPr>
        <w:pStyle w:val="ListBullet"/>
        <w:widowControl/>
        <w:spacing w:after="64" w:line="271" w:lineRule="auto"/>
        <w:ind w:left="374" w:hanging="230"/>
      </w:pPr>
      <w:hyperlink r:id="rId22">
        <w:r>
          <w:rPr>
            <w:rFonts w:ascii="Arial" w:hAnsi="Arial"/>
            <w:color w:val="17324D"/>
            <w:u w:val="single"/>
          </w:rPr>
          <w:t>Justiça reparatória para pessoas africanas e afrodescendentes</w:t>
        </w:r>
      </w:hyperlink>
    </w:p>
    <w:p>
      <w:pPr>
        <w:pStyle w:val="Heading1"/>
        <w:keepNext/>
        <w:widowControl/>
      </w:pPr>
      <w:r>
        <w:t>Anexo D Declaração de adesão</w:t>
      </w:r>
    </w:p>
    <w:p>
      <w:pPr>
        <w:widowControl/>
        <w:spacing w:after="120" w:line="271" w:lineRule="auto"/>
      </w:pPr>
      <w:r>
        <w:rPr>
          <w:rFonts w:ascii="Arial" w:hAnsi="Arial" w:cs="Arial"/>
          <w:color w:val="000000"/>
          <w:sz w:val="21"/>
        </w:rPr>
        <w:t>A entidade identifica o nível e o âmbito do seu compromisso e publica a seguinte declaração adaptada apenas com informação verificável:</w:t>
      </w:r>
    </w:p>
    <w:p>
      <w:pPr>
        <w:widowControl/>
        <w:spacing w:after="120" w:line="271" w:lineRule="auto"/>
      </w:pPr>
      <w:r>
        <w:rPr>
          <w:rFonts w:ascii="Arial" w:hAnsi="Arial" w:cs="Arial"/>
          <w:b/>
          <w:color w:val="000000"/>
          <w:sz w:val="21"/>
        </w:rPr>
        <w:t>A entidade adere aos princípios do Humanity Pact 2026 no âmbito publicamente identificado. Reconhece que a adesão não constitui certificação nem prova de desempenho. Compromete-se a publicar responsabilidades, metas, recursos, resultados, limitações, conflitos relevantes e mecanismos de reclamação, distinguindo informação declarada de evidência documentada ou revista independentemente.</w:t>
      </w:r>
    </w:p>
    <w:p>
      <w:pPr>
        <w:widowControl/>
        <w:spacing w:after="120" w:line="271" w:lineRule="auto"/>
      </w:pPr>
      <w:r>
        <w:rPr>
          <w:rFonts w:ascii="Arial" w:hAnsi="Arial" w:cs="Arial"/>
          <w:color w:val="000000"/>
          <w:sz w:val="21"/>
        </w:rPr>
        <w:t>O registo de adesão deve incluir nome legal da entidade, representante autorizado, âmbito, nível, data de início, ciclo de reporte, ligação para o perfil institucional e versão do Humanity Pact adotada.</w:t>
      </w:r>
    </w:p>
    <w:sectPr w:rsidR="00FC693F" w:rsidRPr="0006063C" w:rsidSect="00034616">
      <w:footerReference w:type="default" r:id="rId9"/>
      <w:pgSz w:w="12240" w:h="15840"/>
      <w:pgMar w:top="1037" w:right="1123" w:bottom="936" w:left="1123" w:header="432"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right"/>
      </w:tabs>
      <w:spacing w:after="0"/>
    </w:pPr>
    <w:r>
      <w:rPr>
        <w:rFonts w:ascii="Arial" w:hAnsi="Arial" w:cs="Arial"/>
        <w:color w:val="6B7280"/>
        <w:sz w:val="16"/>
      </w:rPr>
      <w:t>Humanity Pact 2026  |  Versão consolidada para revisão institucional</w:t>
    </w:r>
    <w:r>
      <w:rPr>
        <w:rFonts w:ascii="Arial" w:hAnsi="Arial" w:cs="Arial"/>
        <w:color w:val="6B7280"/>
        <w:sz w:val="16"/>
      </w:rPr>
      <w:tab/>
    </w:r>
    <w:r>
      <w:rPr>
        <w:rFonts w:ascii="Arial" w:hAnsi="Arial" w:cs="Arial"/>
        <w:color w:val="6B7280"/>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1"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rial" w:hAnsi="Arial"/>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4" w:line="259"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4" w:line="259"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un.org/en/about-us/universal-declaration-of-human-rights" TargetMode="External"/><Relationship Id="rId11" Type="http://schemas.openxmlformats.org/officeDocument/2006/relationships/hyperlink" Target="https://www.ohchr.org/en/instruments-mechanisms/instruments/international-covenant-civil-and-political-rights" TargetMode="External"/><Relationship Id="rId12" Type="http://schemas.openxmlformats.org/officeDocument/2006/relationships/hyperlink" Target="https://www.ohchr.org/en/instruments-mechanisms/instruments/international-covenant-economic-social-and-cultural-rights" TargetMode="External"/><Relationship Id="rId13" Type="http://schemas.openxmlformats.org/officeDocument/2006/relationships/hyperlink" Target="https://www.ohchr.org/en/instruments-mechanisms/instruments/convention-rights-persons-disabilities" TargetMode="External"/><Relationship Id="rId14" Type="http://schemas.openxmlformats.org/officeDocument/2006/relationships/hyperlink" Target="https://social.desa.un.org/issues/indigenous-peoples/united-nations-declaration-on-the-rights-of-indigenous-peoples" TargetMode="External"/><Relationship Id="rId15" Type="http://schemas.openxmlformats.org/officeDocument/2006/relationships/hyperlink" Target="https://www.ohchr.org/en/publications/reference-publications/guiding-principles-business-and-human-rights" TargetMode="External"/><Relationship Id="rId16" Type="http://schemas.openxmlformats.org/officeDocument/2006/relationships/hyperlink" Target="https://sdgs.un.org/2030agenda" TargetMode="External"/><Relationship Id="rId17" Type="http://schemas.openxmlformats.org/officeDocument/2006/relationships/hyperlink" Target="https://unfccc.int/process-and-meetings/the-paris-agreement" TargetMode="External"/><Relationship Id="rId18" Type="http://schemas.openxmlformats.org/officeDocument/2006/relationships/hyperlink" Target="https://www.cbd.int/gbf" TargetMode="External"/><Relationship Id="rId19" Type="http://schemas.openxmlformats.org/officeDocument/2006/relationships/hyperlink" Target="https://www.unesco.org/en/artificial-intelligence/recommendation-ethics" TargetMode="External"/><Relationship Id="rId20" Type="http://schemas.openxmlformats.org/officeDocument/2006/relationships/hyperlink" Target="https://au.int/en/agenda2063/overview" TargetMode="External"/><Relationship Id="rId21" Type="http://schemas.openxmlformats.org/officeDocument/2006/relationships/hyperlink" Target="https://www.un.org/summit-of-the-future/pact-for-the-future" TargetMode="External"/><Relationship Id="rId22" Type="http://schemas.openxmlformats.org/officeDocument/2006/relationships/hyperlink" Target="https://www.ohchr.org/en/documents/tools-and-resources/reparatory-justice-africans-and-people-african-descent-se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Humanity Pact 2026</dc:title>
  <dc:subject>Versão consolidada para revisão institucional</dc:subject>
  <dc:creator>Humanity Pact Think Tank e Myriam Taylor de Carvalho</dc:creator>
  <cp:keywords>Humanity Pact, Humanity Index, dignidade, justiça, bem-estar, transparência, inclusão, equilíbrio planetário</cp:keywords>
  <dc:description>Documento-base do Humanity Pact e fundamento normativo do Humanity Index</dc:description>
  <cp:lastModifiedBy/>
  <cp:revision>1</cp:revision>
  <dcterms:created xsi:type="dcterms:W3CDTF">2013-12-23T23:15:00Z</dcterms:created>
  <dcterms:modified xsi:type="dcterms:W3CDTF">2013-12-23T23:15:00Z</dcterms:modified>
  <cp:category/>
</cp:coreProperties>
</file>